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C33D22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3D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КАР</w:t>
      </w:r>
      <w:r w:rsidR="00C33D22">
        <w:rPr>
          <w:sz w:val="28"/>
          <w:szCs w:val="28"/>
        </w:rPr>
        <w:t xml:space="preserve">АР                            </w:t>
      </w:r>
      <w:r>
        <w:rPr>
          <w:sz w:val="28"/>
          <w:szCs w:val="28"/>
        </w:rPr>
        <w:t xml:space="preserve"> </w:t>
      </w:r>
      <w:r w:rsidR="00C33D22">
        <w:rPr>
          <w:sz w:val="28"/>
          <w:szCs w:val="28"/>
        </w:rPr>
        <w:t xml:space="preserve">    </w:t>
      </w:r>
      <w:r w:rsidR="00774A70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5F4127">
        <w:rPr>
          <w:sz w:val="28"/>
          <w:szCs w:val="28"/>
        </w:rPr>
        <w:t xml:space="preserve"> </w:t>
      </w:r>
      <w:r w:rsidR="00070174">
        <w:rPr>
          <w:sz w:val="28"/>
          <w:szCs w:val="28"/>
        </w:rPr>
        <w:t xml:space="preserve"> </w:t>
      </w:r>
      <w:r w:rsidR="00F7175B">
        <w:rPr>
          <w:sz w:val="28"/>
          <w:szCs w:val="28"/>
        </w:rPr>
        <w:t>43</w:t>
      </w:r>
      <w:r>
        <w:rPr>
          <w:sz w:val="28"/>
          <w:szCs w:val="28"/>
        </w:rPr>
        <w:t xml:space="preserve">            </w:t>
      </w:r>
      <w:r w:rsidR="00C33D2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ПОСТАНОВЛЕНИЕ</w:t>
      </w:r>
    </w:p>
    <w:p w:rsidR="00C33D22" w:rsidRDefault="00C33D22" w:rsidP="000A4B4E">
      <w:pPr>
        <w:jc w:val="both"/>
        <w:rPr>
          <w:sz w:val="28"/>
          <w:szCs w:val="28"/>
        </w:rPr>
      </w:pPr>
    </w:p>
    <w:p w:rsidR="00054E28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175B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774A70">
        <w:rPr>
          <w:sz w:val="28"/>
          <w:szCs w:val="28"/>
        </w:rPr>
        <w:t>июнь</w:t>
      </w:r>
      <w:r w:rsidR="00542043">
        <w:rPr>
          <w:sz w:val="28"/>
          <w:szCs w:val="28"/>
        </w:rPr>
        <w:t xml:space="preserve"> 202</w:t>
      </w:r>
      <w:r w:rsidR="00774A7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 w:rsidR="00774A7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</w:t>
      </w:r>
      <w:r w:rsidR="00C33D22">
        <w:rPr>
          <w:sz w:val="28"/>
          <w:szCs w:val="28"/>
        </w:rPr>
        <w:t xml:space="preserve">     </w:t>
      </w:r>
      <w:r w:rsidR="00AF3C8C">
        <w:rPr>
          <w:sz w:val="28"/>
          <w:szCs w:val="28"/>
        </w:rPr>
        <w:t xml:space="preserve">    </w:t>
      </w:r>
      <w:r w:rsidR="00C33D2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7175B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774A70">
        <w:rPr>
          <w:sz w:val="28"/>
          <w:szCs w:val="28"/>
        </w:rPr>
        <w:t>июня</w:t>
      </w:r>
      <w:r w:rsidR="00542043">
        <w:rPr>
          <w:sz w:val="28"/>
          <w:szCs w:val="28"/>
        </w:rPr>
        <w:t xml:space="preserve"> 202</w:t>
      </w:r>
      <w:r w:rsidR="00774A70">
        <w:rPr>
          <w:sz w:val="28"/>
          <w:szCs w:val="28"/>
        </w:rPr>
        <w:t>1</w:t>
      </w:r>
      <w:r w:rsidR="00542043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>г.</w:t>
      </w:r>
    </w:p>
    <w:p w:rsidR="00054E28" w:rsidRDefault="00054E28" w:rsidP="009A031A">
      <w:pPr>
        <w:rPr>
          <w:sz w:val="28"/>
          <w:szCs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b/>
          <w:sz w:val="28"/>
        </w:rPr>
      </w:pPr>
      <w:r w:rsidRPr="0019564E">
        <w:rPr>
          <w:b/>
          <w:sz w:val="28"/>
        </w:rPr>
        <w:t>Об утверждении Порядка разработки и утверждения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r w:rsidRPr="0019564E">
        <w:rPr>
          <w:b/>
          <w:sz w:val="28"/>
        </w:rPr>
        <w:t xml:space="preserve"> бюджетного прогноза сельского поселения </w:t>
      </w:r>
      <w:proofErr w:type="spellStart"/>
      <w:r>
        <w:rPr>
          <w:b/>
          <w:color w:val="000000"/>
          <w:sz w:val="28"/>
          <w:u w:color="FFC000"/>
        </w:rPr>
        <w:t>Янгантауский</w:t>
      </w:r>
      <w:proofErr w:type="spellEnd"/>
      <w:r w:rsidRPr="0019564E">
        <w:rPr>
          <w:b/>
          <w:sz w:val="28"/>
        </w:rPr>
        <w:t xml:space="preserve"> сельсовет муниципального района </w:t>
      </w:r>
      <w:proofErr w:type="spellStart"/>
      <w:r>
        <w:rPr>
          <w:b/>
          <w:sz w:val="28"/>
        </w:rPr>
        <w:t>Салаватск</w:t>
      </w:r>
      <w:r w:rsidRPr="0019564E">
        <w:rPr>
          <w:b/>
          <w:sz w:val="28"/>
        </w:rPr>
        <w:t>ий</w:t>
      </w:r>
      <w:proofErr w:type="spellEnd"/>
      <w:r w:rsidRPr="0019564E">
        <w:rPr>
          <w:b/>
          <w:sz w:val="28"/>
        </w:rPr>
        <w:t xml:space="preserve"> район </w:t>
      </w:r>
      <w:r>
        <w:rPr>
          <w:b/>
          <w:sz w:val="28"/>
        </w:rPr>
        <w:t>Р</w:t>
      </w:r>
      <w:r w:rsidRPr="0019564E">
        <w:rPr>
          <w:b/>
          <w:sz w:val="28"/>
        </w:rPr>
        <w:t xml:space="preserve">еспублики Башкортостан </w:t>
      </w:r>
      <w:r>
        <w:rPr>
          <w:b/>
          <w:sz w:val="28"/>
        </w:rPr>
        <w:t xml:space="preserve"> </w:t>
      </w:r>
      <w:r w:rsidRPr="0019564E">
        <w:rPr>
          <w:b/>
          <w:sz w:val="28"/>
        </w:rPr>
        <w:t>на долгосрочный период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</w:p>
    <w:p w:rsidR="00F7175B" w:rsidRPr="0019564E" w:rsidRDefault="00F7175B" w:rsidP="00F7175B">
      <w:pPr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    </w:t>
      </w:r>
      <w:proofErr w:type="gramStart"/>
      <w:r w:rsidRPr="0019564E">
        <w:rPr>
          <w:rFonts w:eastAsia="Calibri"/>
          <w:sz w:val="28"/>
          <w:szCs w:val="22"/>
          <w:lang w:eastAsia="en-US"/>
        </w:rPr>
        <w:t xml:space="preserve">В соответствии со </w:t>
      </w:r>
      <w:hyperlink r:id="rId7" w:history="1">
        <w:r w:rsidRPr="0019564E">
          <w:rPr>
            <w:rFonts w:eastAsia="Calibri"/>
            <w:sz w:val="28"/>
            <w:szCs w:val="22"/>
            <w:lang w:eastAsia="en-US"/>
          </w:rPr>
          <w:t>статьей 170.1</w:t>
        </w:r>
      </w:hyperlink>
      <w:r w:rsidRPr="0019564E">
        <w:rPr>
          <w:rFonts w:eastAsia="Calibri"/>
          <w:sz w:val="28"/>
          <w:szCs w:val="22"/>
          <w:lang w:eastAsia="en-US"/>
        </w:rPr>
        <w:t xml:space="preserve"> Бюджетного кодекса Российской Федерации, законами Республики Башкортостан "</w:t>
      </w:r>
      <w:hyperlink r:id="rId8" w:history="1">
        <w:r w:rsidRPr="0019564E">
          <w:rPr>
            <w:rFonts w:eastAsia="Calibri"/>
            <w:sz w:val="28"/>
            <w:szCs w:val="22"/>
            <w:lang w:eastAsia="en-US"/>
          </w:rPr>
          <w:t>О бюджетном процессе</w:t>
        </w:r>
      </w:hyperlink>
      <w:r w:rsidRPr="0019564E">
        <w:rPr>
          <w:rFonts w:eastAsia="Calibri"/>
          <w:sz w:val="28"/>
          <w:szCs w:val="22"/>
          <w:lang w:eastAsia="en-US"/>
        </w:rPr>
        <w:t xml:space="preserve"> в Республике Башкортостан", "</w:t>
      </w:r>
      <w:hyperlink r:id="rId9" w:history="1">
        <w:r w:rsidRPr="0019564E">
          <w:rPr>
            <w:rFonts w:eastAsia="Calibri"/>
            <w:sz w:val="28"/>
            <w:szCs w:val="22"/>
            <w:lang w:eastAsia="en-US"/>
          </w:rPr>
          <w:t>О стратегическом планировании</w:t>
        </w:r>
      </w:hyperlink>
      <w:r w:rsidRPr="0019564E">
        <w:rPr>
          <w:rFonts w:eastAsia="Calibri"/>
          <w:sz w:val="28"/>
          <w:szCs w:val="22"/>
          <w:lang w:eastAsia="en-US"/>
        </w:rPr>
        <w:t xml:space="preserve"> в Республике Башкортостан", решением Совета  муниципального района </w:t>
      </w:r>
      <w:proofErr w:type="spellStart"/>
      <w:r>
        <w:rPr>
          <w:rFonts w:eastAsia="Calibri"/>
          <w:sz w:val="28"/>
          <w:szCs w:val="22"/>
          <w:lang w:eastAsia="en-US"/>
        </w:rPr>
        <w:t>Салаватск</w:t>
      </w:r>
      <w:r w:rsidRPr="0019564E">
        <w:rPr>
          <w:rFonts w:eastAsia="Calibri"/>
          <w:sz w:val="28"/>
          <w:szCs w:val="22"/>
          <w:lang w:eastAsia="en-US"/>
        </w:rPr>
        <w:t>ий</w:t>
      </w:r>
      <w:proofErr w:type="spellEnd"/>
      <w:r w:rsidRPr="0019564E">
        <w:rPr>
          <w:rFonts w:eastAsia="Calibri"/>
          <w:sz w:val="28"/>
          <w:szCs w:val="22"/>
          <w:lang w:eastAsia="en-US"/>
        </w:rPr>
        <w:t xml:space="preserve"> район Республики Башкортостан «О бюджетном процессе в муниципальном районе </w:t>
      </w:r>
      <w:proofErr w:type="spellStart"/>
      <w:r>
        <w:rPr>
          <w:rFonts w:eastAsia="Calibri"/>
          <w:sz w:val="28"/>
          <w:szCs w:val="22"/>
          <w:lang w:eastAsia="en-US"/>
        </w:rPr>
        <w:t>Салаватск</w:t>
      </w:r>
      <w:r w:rsidRPr="0019564E">
        <w:rPr>
          <w:rFonts w:eastAsia="Calibri"/>
          <w:sz w:val="28"/>
          <w:szCs w:val="22"/>
          <w:lang w:eastAsia="en-US"/>
        </w:rPr>
        <w:t>ий</w:t>
      </w:r>
      <w:proofErr w:type="spellEnd"/>
      <w:r w:rsidRPr="0019564E">
        <w:rPr>
          <w:rFonts w:eastAsia="Calibri"/>
          <w:sz w:val="28"/>
          <w:szCs w:val="22"/>
          <w:lang w:eastAsia="en-US"/>
        </w:rPr>
        <w:t xml:space="preserve"> район Республики Башкортостан», решением Совета сельского поселения </w:t>
      </w:r>
      <w:proofErr w:type="spellStart"/>
      <w:r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</w:t>
      </w:r>
      <w:r w:rsidRPr="0019564E">
        <w:rPr>
          <w:rFonts w:eastAsia="Calibri"/>
          <w:sz w:val="28"/>
          <w:szCs w:val="22"/>
          <w:lang w:eastAsia="en-US"/>
        </w:rPr>
        <w:t xml:space="preserve">сельсовет муниципального района </w:t>
      </w:r>
      <w:proofErr w:type="spellStart"/>
      <w:r>
        <w:rPr>
          <w:rFonts w:eastAsia="Calibri"/>
          <w:sz w:val="28"/>
          <w:szCs w:val="22"/>
          <w:lang w:eastAsia="en-US"/>
        </w:rPr>
        <w:t>Салаватск</w:t>
      </w:r>
      <w:r w:rsidRPr="0019564E">
        <w:rPr>
          <w:rFonts w:eastAsia="Calibri"/>
          <w:sz w:val="28"/>
          <w:szCs w:val="22"/>
          <w:lang w:eastAsia="en-US"/>
        </w:rPr>
        <w:t>ий</w:t>
      </w:r>
      <w:proofErr w:type="spellEnd"/>
      <w:r w:rsidRPr="0019564E">
        <w:rPr>
          <w:rFonts w:eastAsia="Calibri"/>
          <w:sz w:val="28"/>
          <w:szCs w:val="22"/>
          <w:lang w:eastAsia="en-US"/>
        </w:rPr>
        <w:t xml:space="preserve"> район Республики Башкортостан «</w:t>
      </w:r>
      <w:r w:rsidRPr="0019564E">
        <w:rPr>
          <w:sz w:val="28"/>
          <w:szCs w:val="28"/>
        </w:rPr>
        <w:t>Об утверждении положения  «О бюджетном процессе</w:t>
      </w:r>
      <w:proofErr w:type="gramEnd"/>
      <w:r w:rsidRPr="0019564E">
        <w:rPr>
          <w:sz w:val="28"/>
          <w:szCs w:val="28"/>
        </w:rPr>
        <w:t xml:space="preserve"> в сельском поселении </w:t>
      </w:r>
      <w:proofErr w:type="spellStart"/>
      <w:r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  <w:szCs w:val="28"/>
        </w:rPr>
        <w:t xml:space="preserve"> сельсовет муниципального района  </w:t>
      </w:r>
      <w:proofErr w:type="spellStart"/>
      <w:r>
        <w:rPr>
          <w:sz w:val="28"/>
          <w:szCs w:val="28"/>
        </w:rPr>
        <w:t>Салаватск</w:t>
      </w:r>
      <w:r w:rsidRPr="0019564E">
        <w:rPr>
          <w:sz w:val="28"/>
          <w:szCs w:val="28"/>
        </w:rPr>
        <w:t>ий</w:t>
      </w:r>
      <w:proofErr w:type="spellEnd"/>
      <w:r w:rsidRPr="0019564E">
        <w:rPr>
          <w:sz w:val="28"/>
          <w:szCs w:val="28"/>
        </w:rPr>
        <w:t xml:space="preserve"> район Республики Башкортостан»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 ПОСТАНОВЛЯЮ: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hyperlink r:id="rId10" w:history="1">
        <w:r w:rsidRPr="0019564E">
          <w:rPr>
            <w:sz w:val="28"/>
          </w:rPr>
          <w:t>1</w:t>
        </w:r>
      </w:hyperlink>
      <w:r w:rsidRPr="0019564E">
        <w:rPr>
          <w:sz w:val="28"/>
        </w:rPr>
        <w:t xml:space="preserve">. Утвердить прилагаемый </w:t>
      </w:r>
      <w:hyperlink w:anchor="P35" w:history="1">
        <w:r w:rsidRPr="0019564E">
          <w:rPr>
            <w:sz w:val="28"/>
          </w:rPr>
          <w:t>Порядок</w:t>
        </w:r>
      </w:hyperlink>
      <w:r w:rsidRPr="0019564E">
        <w:rPr>
          <w:sz w:val="28"/>
        </w:rPr>
        <w:t xml:space="preserve"> разработки и утверждения бюджетного прогноза сельского поселения </w:t>
      </w:r>
      <w:proofErr w:type="spellStart"/>
      <w:r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долгосрочный период.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2. Установить, что бюджетный прогноз сельского поселения </w:t>
      </w:r>
      <w:proofErr w:type="spellStart"/>
      <w:r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долгосрочный период разрабатывается каждые три года на срок, соответствующий периоду действия прогноза социально-экономического развития сельского поселения </w:t>
      </w:r>
      <w:proofErr w:type="spellStart"/>
      <w:r>
        <w:rPr>
          <w:rFonts w:eastAsia="Calibri"/>
          <w:color w:val="000000"/>
          <w:sz w:val="28"/>
          <w:szCs w:val="22"/>
          <w:u w:color="FFC000"/>
          <w:lang w:eastAsia="en-US"/>
        </w:rPr>
        <w:t>Янгатауский</w:t>
      </w:r>
      <w:proofErr w:type="spellEnd"/>
      <w:r>
        <w:rPr>
          <w:rFonts w:eastAsia="Calibri"/>
          <w:color w:val="000000"/>
          <w:sz w:val="28"/>
          <w:szCs w:val="22"/>
          <w:u w:color="FFC000"/>
          <w:lang w:eastAsia="en-US"/>
        </w:rPr>
        <w:t xml:space="preserve"> </w:t>
      </w:r>
      <w:r w:rsidRPr="0019564E">
        <w:rPr>
          <w:sz w:val="28"/>
        </w:rPr>
        <w:t>сельсовет муниципального района  Республики Башкортостан на долгосрочный период, но не менее чем на шесть лет.</w:t>
      </w:r>
    </w:p>
    <w:p w:rsidR="00F7175B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9A031A" w:rsidRPr="0019564E" w:rsidRDefault="009A031A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2"/>
          <w:lang w:eastAsia="en-US"/>
        </w:rPr>
        <w:t>И о главы</w:t>
      </w:r>
      <w:r w:rsidRPr="0019564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Pr="0019564E">
        <w:rPr>
          <w:rFonts w:eastAsia="Calibri"/>
          <w:sz w:val="28"/>
          <w:szCs w:val="22"/>
          <w:lang w:eastAsia="en-US"/>
        </w:rPr>
        <w:t xml:space="preserve">                    </w:t>
      </w:r>
      <w:r w:rsidRPr="0019564E">
        <w:rPr>
          <w:rFonts w:eastAsia="Calibri"/>
          <w:sz w:val="28"/>
          <w:szCs w:val="22"/>
          <w:lang w:eastAsia="en-US"/>
        </w:rPr>
        <w:tab/>
        <w:t xml:space="preserve">                  </w:t>
      </w:r>
      <w:r>
        <w:rPr>
          <w:rFonts w:eastAsia="Calibri"/>
          <w:sz w:val="28"/>
          <w:szCs w:val="22"/>
          <w:lang w:eastAsia="en-US"/>
        </w:rPr>
        <w:t xml:space="preserve">Г.С. </w:t>
      </w:r>
      <w:proofErr w:type="spellStart"/>
      <w:r>
        <w:rPr>
          <w:rFonts w:eastAsia="Calibri"/>
          <w:sz w:val="28"/>
          <w:szCs w:val="22"/>
          <w:lang w:eastAsia="en-US"/>
        </w:rPr>
        <w:t>Жиянгалина</w:t>
      </w:r>
      <w:proofErr w:type="spellEnd"/>
    </w:p>
    <w:p w:rsidR="00F7175B" w:rsidRDefault="00F7175B" w:rsidP="00F7175B">
      <w:pPr>
        <w:widowControl w:val="0"/>
        <w:autoSpaceDE w:val="0"/>
        <w:autoSpaceDN w:val="0"/>
        <w:ind w:left="5529" w:right="-1"/>
        <w:outlineLvl w:val="0"/>
        <w:rPr>
          <w:sz w:val="28"/>
        </w:rPr>
      </w:pPr>
    </w:p>
    <w:p w:rsidR="00F7175B" w:rsidRDefault="00F7175B" w:rsidP="00F7175B">
      <w:pPr>
        <w:widowControl w:val="0"/>
        <w:autoSpaceDE w:val="0"/>
        <w:autoSpaceDN w:val="0"/>
        <w:ind w:left="5529" w:right="-1"/>
        <w:outlineLvl w:val="0"/>
        <w:rPr>
          <w:sz w:val="28"/>
        </w:rPr>
      </w:pPr>
    </w:p>
    <w:p w:rsidR="00F7175B" w:rsidRDefault="00F7175B" w:rsidP="00F7175B">
      <w:pPr>
        <w:widowControl w:val="0"/>
        <w:autoSpaceDE w:val="0"/>
        <w:autoSpaceDN w:val="0"/>
        <w:ind w:left="5529" w:right="-1"/>
        <w:outlineLvl w:val="0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left="5529" w:right="-1"/>
        <w:outlineLvl w:val="0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left="5529" w:right="-1"/>
        <w:jc w:val="right"/>
        <w:outlineLvl w:val="0"/>
        <w:rPr>
          <w:sz w:val="28"/>
        </w:rPr>
      </w:pPr>
      <w:r w:rsidRPr="0019564E">
        <w:rPr>
          <w:sz w:val="28"/>
        </w:rPr>
        <w:lastRenderedPageBreak/>
        <w:t xml:space="preserve">Утвержден </w:t>
      </w:r>
    </w:p>
    <w:p w:rsidR="00F7175B" w:rsidRPr="0019564E" w:rsidRDefault="00F7175B" w:rsidP="00F7175B">
      <w:pPr>
        <w:widowControl w:val="0"/>
        <w:autoSpaceDE w:val="0"/>
        <w:autoSpaceDN w:val="0"/>
        <w:ind w:left="5529" w:right="-1"/>
        <w:jc w:val="right"/>
        <w:outlineLvl w:val="0"/>
        <w:rPr>
          <w:sz w:val="28"/>
        </w:rPr>
      </w:pPr>
      <w:r w:rsidRPr="0019564E">
        <w:rPr>
          <w:sz w:val="28"/>
        </w:rPr>
        <w:t>постановлением</w:t>
      </w:r>
    </w:p>
    <w:p w:rsidR="00F7175B" w:rsidRPr="0019564E" w:rsidRDefault="00F7175B" w:rsidP="00F7175B">
      <w:pPr>
        <w:widowControl w:val="0"/>
        <w:autoSpaceDE w:val="0"/>
        <w:autoSpaceDN w:val="0"/>
        <w:ind w:left="5529" w:right="-1"/>
        <w:jc w:val="right"/>
        <w:outlineLvl w:val="0"/>
        <w:rPr>
          <w:sz w:val="28"/>
        </w:rPr>
      </w:pPr>
      <w:r w:rsidRPr="0019564E">
        <w:rPr>
          <w:sz w:val="28"/>
        </w:rPr>
        <w:t>главы  сельского поселения</w:t>
      </w:r>
    </w:p>
    <w:p w:rsidR="00F7175B" w:rsidRPr="0019564E" w:rsidRDefault="00F7175B" w:rsidP="00F7175B">
      <w:pPr>
        <w:widowControl w:val="0"/>
        <w:autoSpaceDE w:val="0"/>
        <w:autoSpaceDN w:val="0"/>
        <w:ind w:left="5529" w:right="-1"/>
        <w:jc w:val="right"/>
        <w:outlineLvl w:val="0"/>
        <w:rPr>
          <w:sz w:val="28"/>
        </w:rPr>
      </w:pPr>
      <w:proofErr w:type="spellStart"/>
      <w:r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</w:t>
      </w:r>
    </w:p>
    <w:p w:rsidR="00F7175B" w:rsidRPr="0019564E" w:rsidRDefault="00F7175B" w:rsidP="00F7175B">
      <w:pPr>
        <w:widowControl w:val="0"/>
        <w:autoSpaceDE w:val="0"/>
        <w:autoSpaceDN w:val="0"/>
        <w:ind w:left="5529" w:right="-1"/>
        <w:jc w:val="right"/>
        <w:rPr>
          <w:sz w:val="28"/>
        </w:rPr>
      </w:pPr>
      <w:r w:rsidRPr="0019564E">
        <w:rPr>
          <w:sz w:val="28"/>
        </w:rPr>
        <w:t xml:space="preserve">муниципального района </w:t>
      </w:r>
    </w:p>
    <w:p w:rsidR="00F7175B" w:rsidRPr="0019564E" w:rsidRDefault="00F7175B" w:rsidP="00F7175B">
      <w:pPr>
        <w:widowControl w:val="0"/>
        <w:autoSpaceDE w:val="0"/>
        <w:autoSpaceDN w:val="0"/>
        <w:ind w:left="5529" w:right="-1"/>
        <w:jc w:val="right"/>
        <w:rPr>
          <w:sz w:val="28"/>
        </w:rPr>
      </w:pP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</w:t>
      </w:r>
    </w:p>
    <w:p w:rsidR="00F7175B" w:rsidRPr="0019564E" w:rsidRDefault="00F7175B" w:rsidP="00F7175B">
      <w:pPr>
        <w:widowControl w:val="0"/>
        <w:autoSpaceDE w:val="0"/>
        <w:autoSpaceDN w:val="0"/>
        <w:ind w:left="5529" w:right="-1"/>
        <w:jc w:val="right"/>
        <w:rPr>
          <w:sz w:val="28"/>
        </w:rPr>
      </w:pPr>
      <w:r w:rsidRPr="0019564E">
        <w:rPr>
          <w:sz w:val="28"/>
        </w:rPr>
        <w:t>Республики Башкортостан</w:t>
      </w:r>
    </w:p>
    <w:p w:rsidR="00F7175B" w:rsidRDefault="00F7175B" w:rsidP="00F7175B">
      <w:pPr>
        <w:widowControl w:val="0"/>
        <w:autoSpaceDE w:val="0"/>
        <w:autoSpaceDN w:val="0"/>
        <w:ind w:left="5529" w:right="-1"/>
        <w:jc w:val="right"/>
        <w:rPr>
          <w:sz w:val="28"/>
        </w:rPr>
      </w:pPr>
      <w:r w:rsidRPr="0019564E">
        <w:rPr>
          <w:sz w:val="28"/>
        </w:rPr>
        <w:t xml:space="preserve">от </w:t>
      </w:r>
      <w:r>
        <w:rPr>
          <w:sz w:val="28"/>
        </w:rPr>
        <w:t>28.06.2021 № 43</w:t>
      </w:r>
    </w:p>
    <w:p w:rsidR="00F7175B" w:rsidRPr="0019564E" w:rsidRDefault="00F7175B" w:rsidP="00F7175B">
      <w:pPr>
        <w:widowControl w:val="0"/>
        <w:autoSpaceDE w:val="0"/>
        <w:autoSpaceDN w:val="0"/>
        <w:ind w:left="5529" w:right="-1"/>
        <w:jc w:val="right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bookmarkStart w:id="0" w:name="P35"/>
      <w:bookmarkEnd w:id="0"/>
      <w:r w:rsidRPr="0019564E">
        <w:rPr>
          <w:sz w:val="28"/>
        </w:rPr>
        <w:t>ПОРЯДОК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r w:rsidRPr="0019564E">
        <w:rPr>
          <w:sz w:val="28"/>
        </w:rPr>
        <w:t xml:space="preserve">РАЗРАБОТКИ И УТВЕРЖДЕНИЯ БЮДЖЕТНОГО ПРОГНОЗА 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r w:rsidRPr="0019564E">
        <w:rPr>
          <w:sz w:val="28"/>
        </w:rPr>
        <w:t xml:space="preserve">СЕЛЬСКОГО ПОСЕЛЕНИЯ </w:t>
      </w:r>
      <w:r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r w:rsidRPr="0019564E">
        <w:rPr>
          <w:sz w:val="28"/>
        </w:rPr>
        <w:t xml:space="preserve"> СЕЛЬСОВЕТ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proofErr w:type="gramStart"/>
      <w:r w:rsidRPr="0019564E">
        <w:rPr>
          <w:sz w:val="28"/>
        </w:rPr>
        <w:t>МУНИЦИПАЛЬНОГО</w:t>
      </w:r>
      <w:proofErr w:type="gramEnd"/>
      <w:r w:rsidRPr="0019564E">
        <w:rPr>
          <w:sz w:val="28"/>
        </w:rPr>
        <w:t xml:space="preserve"> РАЙОГНА </w:t>
      </w:r>
      <w:r>
        <w:rPr>
          <w:sz w:val="28"/>
        </w:rPr>
        <w:t>САЛАВАТСК</w:t>
      </w:r>
      <w:r w:rsidRPr="0019564E">
        <w:rPr>
          <w:sz w:val="28"/>
        </w:rPr>
        <w:t>ИЙ РАЙОН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r w:rsidRPr="0019564E">
        <w:rPr>
          <w:sz w:val="28"/>
        </w:rPr>
        <w:t>РЕСПУБЛИКИ БАШКОРТОСТАН НА ДОЛГОСРОЧНЫЙ ПЕРИОД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1. Настоящий Порядок определяет сроки, правила разработки и утверждения, требования к составу и содержанию бюджетного прогноза сельского поселения </w:t>
      </w:r>
      <w:proofErr w:type="spellStart"/>
      <w:r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долгосрочный период (далее - Бюджетный прогноз).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2. Под изменением Бюджетного прогноза понимаются корректировки, вносимые без изменения периода, на который разрабатывается Бюджетный прогноз.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proofErr w:type="gramStart"/>
      <w:r w:rsidRPr="0019564E">
        <w:rPr>
          <w:sz w:val="28"/>
        </w:rPr>
        <w:t xml:space="preserve">Разработка Бюджетного прогноза (изменение Бюджетного прогноза) и организационное обеспечение осуществляются финансовым органом сельского поселения </w:t>
      </w:r>
      <w:proofErr w:type="spellStart"/>
      <w:r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с соблюдением требований Бюджетного </w:t>
      </w:r>
      <w:hyperlink r:id="rId11" w:history="1">
        <w:r w:rsidRPr="0019564E">
          <w:rPr>
            <w:sz w:val="28"/>
          </w:rPr>
          <w:t>кодекса</w:t>
        </w:r>
      </w:hyperlink>
      <w:r w:rsidRPr="0019564E">
        <w:rPr>
          <w:sz w:val="28"/>
        </w:rPr>
        <w:t xml:space="preserve"> Российской Федерации на основе вариативного прогноза (изменений прогноза) социально-экономического развития сельского поселения </w:t>
      </w:r>
      <w:proofErr w:type="spellStart"/>
      <w:r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долгосрочный период (далее - Долгосрочный прогноз (изменения Долгосрочного прогноза)).</w:t>
      </w:r>
      <w:proofErr w:type="gramEnd"/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3. Бюджетный прогноз включает описание: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а) текущих характеристик</w:t>
      </w:r>
      <w:r>
        <w:rPr>
          <w:sz w:val="28"/>
        </w:rPr>
        <w:t xml:space="preserve"> Б</w:t>
      </w:r>
      <w:r w:rsidRPr="0019564E">
        <w:rPr>
          <w:sz w:val="28"/>
        </w:rPr>
        <w:t xml:space="preserve">юджета сельского поселения </w:t>
      </w:r>
      <w:proofErr w:type="spellStart"/>
      <w:r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б) целей и задач по формированию и реализации налоговой, бюджетной и долговой политики сельского поселения </w:t>
      </w:r>
      <w:proofErr w:type="spellStart"/>
      <w:r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в долгосрочном периоде;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в) условий формирования Бюджетного прогноза;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г) прогноза основных характеристик   бюджета сельского поселения </w:t>
      </w:r>
      <w:proofErr w:type="spellStart"/>
      <w:r>
        <w:rPr>
          <w:sz w:val="28"/>
        </w:rPr>
        <w:t>Я</w:t>
      </w:r>
      <w:r w:rsidR="00A162FB">
        <w:rPr>
          <w:sz w:val="28"/>
        </w:rPr>
        <w:t>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долгосрочный период (с учетом положений законодательства Российской Федерации, Республики Башкортостан, действующих на день разработки Бюджетного прогноза) и структуры </w:t>
      </w:r>
      <w:r w:rsidRPr="0019564E">
        <w:rPr>
          <w:sz w:val="28"/>
        </w:rPr>
        <w:lastRenderedPageBreak/>
        <w:t xml:space="preserve">доходов и расходов бюджета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proofErr w:type="spellStart"/>
      <w:r w:rsidRPr="0019564E">
        <w:rPr>
          <w:sz w:val="28"/>
        </w:rPr>
        <w:t>д</w:t>
      </w:r>
      <w:proofErr w:type="spellEnd"/>
      <w:r w:rsidRPr="0019564E">
        <w:rPr>
          <w:sz w:val="28"/>
        </w:rPr>
        <w:t xml:space="preserve">) муниципального долга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и долга входящих в ее состав муниципальных образований;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е) основных рисков, возникающих в процессе реализации Бюджетного прогноза.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Бюджетный прогноз может включать иные параметры, необходимые для определения основных подходов к формированию бюджетной политики в долгосрочном периоде.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4. Бюджетный прогноз содержит: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а) основные </w:t>
      </w:r>
      <w:hyperlink w:anchor="P93" w:history="1">
        <w:r w:rsidRPr="0019564E">
          <w:rPr>
            <w:sz w:val="28"/>
          </w:rPr>
          <w:t>параметры</w:t>
        </w:r>
      </w:hyperlink>
      <w:r w:rsidRPr="0019564E">
        <w:rPr>
          <w:sz w:val="28"/>
        </w:rPr>
        <w:t xml:space="preserve"> прогноза (изменений прогноза) социально-экономического развития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долгосрочный период (приложение N 1 к настоящему Порядку);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б) </w:t>
      </w:r>
      <w:hyperlink w:anchor="P124" w:history="1">
        <w:r w:rsidRPr="0019564E">
          <w:rPr>
            <w:sz w:val="28"/>
          </w:rPr>
          <w:t>прогноз</w:t>
        </w:r>
      </w:hyperlink>
      <w:r w:rsidRPr="0019564E">
        <w:rPr>
          <w:sz w:val="28"/>
        </w:rPr>
        <w:t xml:space="preserve"> основных характеристик   бюджета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долгосрочный период (приложение N 2 к настоящему Порядку);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в) предельные </w:t>
      </w:r>
      <w:hyperlink w:anchor="P156" w:history="1">
        <w:r w:rsidRPr="0019564E">
          <w:rPr>
            <w:sz w:val="28"/>
          </w:rPr>
          <w:t>расходы</w:t>
        </w:r>
      </w:hyperlink>
      <w:r w:rsidRPr="0019564E">
        <w:rPr>
          <w:sz w:val="28"/>
        </w:rPr>
        <w:t xml:space="preserve"> бюджета сельского поселения </w:t>
      </w:r>
      <w:proofErr w:type="spellStart"/>
      <w:r w:rsidR="00A162FB">
        <w:rPr>
          <w:sz w:val="28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финансовое обеспечение реализации муниципальных программ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(приложение N 3 к настоящему Порядку).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5. Разработка Бюджетного прогноза (изменение Бюджетного прогноза) осуществляется в три этапа.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bookmarkStart w:id="1" w:name="P57"/>
      <w:bookmarkEnd w:id="1"/>
      <w:r w:rsidRPr="0019564E">
        <w:rPr>
          <w:sz w:val="28"/>
        </w:rPr>
        <w:t xml:space="preserve">6. </w:t>
      </w:r>
      <w:proofErr w:type="gramStart"/>
      <w:r w:rsidRPr="0019564E">
        <w:rPr>
          <w:sz w:val="28"/>
        </w:rPr>
        <w:t xml:space="preserve">На первом этапе финансовым органом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разрабатывается проект Бюджетного прогноза (проект изменений Бюджетного прогноза) на основе сценарных условий функционирования экономики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долгосрочный период и основных параметров Долгосрочного прогноза (изменений Долгосрочного прогноза), а также иных показателей социально-экономического развития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</w:t>
      </w:r>
      <w:proofErr w:type="gramEnd"/>
      <w:r w:rsidRPr="0019564E">
        <w:rPr>
          <w:sz w:val="28"/>
        </w:rPr>
        <w:t xml:space="preserve">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proofErr w:type="gramStart"/>
      <w:r w:rsidRPr="0019564E">
        <w:rPr>
          <w:sz w:val="28"/>
        </w:rPr>
        <w:t xml:space="preserve">Финансовый орган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в сроки, определенные нормативными правовыми актами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Башкортостан, регулирующими порядок составления проекта бюджета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очередной финансовый год и плановый период разрабатывает:  </w:t>
      </w:r>
      <w:proofErr w:type="gramEnd"/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а) сценарные условия функционирования экономики сельского </w:t>
      </w:r>
      <w:r w:rsidRPr="0019564E">
        <w:rPr>
          <w:sz w:val="28"/>
        </w:rPr>
        <w:lastRenderedPageBreak/>
        <w:t xml:space="preserve">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долгосрочный период;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б) основные параметры Долгосрочного прогноза (изменений Долгосрочного прогноза) и иные показатели социально-экономического развития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 xml:space="preserve"> </w:t>
      </w:r>
      <w:r w:rsidRPr="0019564E">
        <w:rPr>
          <w:sz w:val="28"/>
        </w:rPr>
        <w:t xml:space="preserve">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Башкортостан, включающие отчетные данные, ожидаемые итоги за текущий финансовый год и прогнозируемые на долгосрочный период значения: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валового регионального продукта в основных ценах;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индекса потребительских цен;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объема платных услуг населению;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прибыли по всем видам деятельности;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прибыли прибыльных организаций для целей бухгалтерского учета;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фонда заработной платы;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среднемесячной заработной платы;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в) пояснительная записка с характеристикой и описанием основных вариантов Долгосрочного прогноза (изменений Долгосрочного прогноза), ключевых прогнозируемых событий долгосрочного периода, оказывающих существенное влияние на показатели бюджета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Башкортостан, обоснования выбора варианта Долгосрочного прогноза в качестве базового.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Проект Бюджетного прогноза (проект изменений Бюджетного прогноза) учитывается при разработке прогноза основных характеристик   бюджета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очередной финансовый год и плановый период.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7. </w:t>
      </w:r>
      <w:proofErr w:type="gramStart"/>
      <w:r w:rsidRPr="0019564E">
        <w:rPr>
          <w:sz w:val="28"/>
        </w:rPr>
        <w:t xml:space="preserve">Проект Бюджетного прогноза (проект изменений Бюджетного прогноза) в сроки, определенные нормативными правовыми актами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Башкортостан, регулирующими порядок составления проекта бюджета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очередной финансовый год и плановый период, рассматривается и согласовывается Межведомственной комисс</w:t>
      </w:r>
      <w:r w:rsidR="009A031A">
        <w:rPr>
          <w:sz w:val="28"/>
        </w:rPr>
        <w:t>ией по бюджетным проектировкам</w:t>
      </w:r>
      <w:r w:rsidRPr="0019564E">
        <w:rPr>
          <w:sz w:val="28"/>
        </w:rPr>
        <w:t>.</w:t>
      </w:r>
      <w:proofErr w:type="gramEnd"/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proofErr w:type="gramStart"/>
      <w:r w:rsidRPr="0019564E">
        <w:rPr>
          <w:sz w:val="28"/>
        </w:rPr>
        <w:t xml:space="preserve">Одобренный   проект Бюджетного прогноза (проект изменений Бюджетного прогноза) (за исключением показателей финансового обеспечения муниципальных программ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 xml:space="preserve"> </w:t>
      </w:r>
      <w:r w:rsidRPr="0019564E">
        <w:rPr>
          <w:sz w:val="28"/>
        </w:rPr>
        <w:t xml:space="preserve">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Башкортостан) направляется в Совет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одновременно с проектом решения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о бюджете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</w:t>
      </w:r>
      <w:proofErr w:type="gramEnd"/>
      <w:r w:rsidRPr="0019564E">
        <w:rPr>
          <w:sz w:val="28"/>
        </w:rPr>
        <w:t xml:space="preserve">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</w:t>
      </w:r>
      <w:r w:rsidRPr="0019564E">
        <w:rPr>
          <w:sz w:val="28"/>
        </w:rPr>
        <w:lastRenderedPageBreak/>
        <w:t>Башкортостан на очередной финансовый год и плановый период.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8. На втором этапе финансовым органом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формируются уточнения в проект Бюджетного прогноза (проект изменений Бюджетного прогноза) на основе проекта Долгосрочного прогноза (изменений Долгосрочного прогноза).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  Не позднее 1 декабря текущего финансового года представляются в финансовый орган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необходимые для формирования уточнений в проект Бюджетного прогноза (проект изменений Бюджетного прогноза) уточненные данные по материалам, указанным в </w:t>
      </w:r>
      <w:hyperlink w:anchor="P57" w:history="1">
        <w:r w:rsidRPr="0019564E">
          <w:rPr>
            <w:sz w:val="28"/>
          </w:rPr>
          <w:t>пункте 6</w:t>
        </w:r>
      </w:hyperlink>
      <w:r w:rsidRPr="0019564E">
        <w:rPr>
          <w:sz w:val="28"/>
        </w:rPr>
        <w:t xml:space="preserve"> настоящего Порядка.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Проект Бюджетного прогноза (проект изменений Бюджетного прогноза) выносится на общественное обсуждение в соответствии с нормативными правовыми актами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9. </w:t>
      </w:r>
      <w:proofErr w:type="gramStart"/>
      <w:r w:rsidRPr="0019564E">
        <w:rPr>
          <w:sz w:val="28"/>
        </w:rPr>
        <w:t xml:space="preserve">На третьем этапе финансовым органом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не позднее месячного срока со дня принятия решения Совета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 xml:space="preserve"> </w:t>
      </w:r>
      <w:r w:rsidRPr="0019564E">
        <w:rPr>
          <w:sz w:val="28"/>
        </w:rPr>
        <w:t xml:space="preserve">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о бюджете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очередной финансовый год и плановый период разрабатывается и представляется в Совет сельского поселения</w:t>
      </w:r>
      <w:proofErr w:type="gramEnd"/>
      <w:r w:rsidRPr="0019564E">
        <w:rPr>
          <w:sz w:val="28"/>
        </w:rPr>
        <w:t xml:space="preserve">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утверждение Бюджетный прогноз (изменения Бюджетного прогноза).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proofErr w:type="gramStart"/>
      <w:r w:rsidRPr="0019564E">
        <w:rPr>
          <w:sz w:val="28"/>
        </w:rPr>
        <w:t xml:space="preserve">Бюджетный прогноз (изменения Бюджетного прогноза) утверждается (утверждаются) Советом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в срок, не превышающий двух месяцев со дня официального опубликования решения Совета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 xml:space="preserve"> </w:t>
      </w:r>
      <w:r w:rsidRPr="0019564E">
        <w:rPr>
          <w:sz w:val="28"/>
        </w:rPr>
        <w:t xml:space="preserve">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о бюджете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очередной финансовый год и плановый период.</w:t>
      </w:r>
      <w:proofErr w:type="gramEnd"/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10. Бюджетный прогноз корректируется финансовым органом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с учетом: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а) изменений Долгосрочного прогноза (разработки нового Долгосрочного прогноза);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б) формирования (утверждения) решения о бюджете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Республике Башкортостан на очередной финансовый год и плановый период;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 xml:space="preserve">в) изменений целеполагающих документов стратегического </w:t>
      </w:r>
      <w:r w:rsidRPr="0019564E">
        <w:rPr>
          <w:sz w:val="28"/>
        </w:rPr>
        <w:lastRenderedPageBreak/>
        <w:t xml:space="preserve">планирования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Башкортостан;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  <w:r w:rsidRPr="0019564E">
        <w:rPr>
          <w:sz w:val="28"/>
        </w:rPr>
        <w:t>г) изменений законодательства о налогах и сборах, условий осуществления межбюджетного регулирования.</w:t>
      </w:r>
    </w:p>
    <w:p w:rsidR="00F7175B" w:rsidRPr="0019564E" w:rsidRDefault="00F7175B" w:rsidP="00F7175B">
      <w:pPr>
        <w:widowControl w:val="0"/>
        <w:autoSpaceDE w:val="0"/>
        <w:autoSpaceDN w:val="0"/>
        <w:jc w:val="right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right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right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right"/>
        <w:rPr>
          <w:sz w:val="28"/>
        </w:rPr>
      </w:pPr>
    </w:p>
    <w:p w:rsidR="00F7175B" w:rsidRPr="0019564E" w:rsidRDefault="00F7175B" w:rsidP="00F7175B">
      <w:pPr>
        <w:rPr>
          <w:rFonts w:eastAsia="Calibri"/>
          <w:sz w:val="28"/>
          <w:szCs w:val="22"/>
          <w:lang w:eastAsia="en-US"/>
        </w:rPr>
        <w:sectPr w:rsidR="00F7175B" w:rsidRPr="0019564E" w:rsidSect="000C065E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F7175B" w:rsidRPr="0019564E" w:rsidRDefault="00F7175B" w:rsidP="00F7175B">
      <w:pPr>
        <w:widowControl w:val="0"/>
        <w:autoSpaceDE w:val="0"/>
        <w:autoSpaceDN w:val="0"/>
        <w:ind w:left="5670"/>
        <w:outlineLvl w:val="1"/>
        <w:rPr>
          <w:sz w:val="28"/>
        </w:rPr>
      </w:pPr>
      <w:r w:rsidRPr="0019564E">
        <w:rPr>
          <w:sz w:val="28"/>
        </w:rPr>
        <w:lastRenderedPageBreak/>
        <w:t>Приложение №1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>к Порядку разработки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 xml:space="preserve">бюджетного прогноза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 xml:space="preserve"> </w:t>
      </w:r>
      <w:r w:rsidRPr="0019564E">
        <w:rPr>
          <w:sz w:val="28"/>
        </w:rPr>
        <w:t>сельсовет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>Республики Башкортостан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>на долгосрочный период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bookmarkStart w:id="2" w:name="P93"/>
      <w:bookmarkEnd w:id="2"/>
      <w:r w:rsidRPr="0019564E">
        <w:rPr>
          <w:sz w:val="28"/>
        </w:rPr>
        <w:t>ОСНОВНЫЕ ПАРАМЕТРЫ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r w:rsidRPr="0019564E">
        <w:rPr>
          <w:sz w:val="28"/>
        </w:rPr>
        <w:t>прогноза (изменений прогноза) социально-экономического</w:t>
      </w:r>
      <w:r>
        <w:rPr>
          <w:sz w:val="28"/>
        </w:rPr>
        <w:t xml:space="preserve"> </w:t>
      </w:r>
      <w:r w:rsidRPr="0019564E">
        <w:rPr>
          <w:sz w:val="28"/>
        </w:rPr>
        <w:t xml:space="preserve">развития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</w:t>
      </w:r>
      <w:r>
        <w:rPr>
          <w:sz w:val="28"/>
        </w:rPr>
        <w:t xml:space="preserve"> </w:t>
      </w:r>
      <w:r w:rsidRPr="0019564E">
        <w:rPr>
          <w:sz w:val="28"/>
        </w:rPr>
        <w:t>Республики Башкортостан на период до _______ года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2"/>
        <w:gridCol w:w="1260"/>
        <w:gridCol w:w="1080"/>
        <w:gridCol w:w="1260"/>
        <w:gridCol w:w="1260"/>
        <w:gridCol w:w="1260"/>
        <w:gridCol w:w="1980"/>
      </w:tblGrid>
      <w:tr w:rsidR="00F7175B" w:rsidRPr="0019564E" w:rsidTr="002568F8">
        <w:tc>
          <w:tcPr>
            <w:tcW w:w="1502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Показатель, единица измерения</w:t>
            </w:r>
          </w:p>
        </w:tc>
        <w:tc>
          <w:tcPr>
            <w:tcW w:w="126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Отчетный год</w:t>
            </w:r>
          </w:p>
        </w:tc>
        <w:tc>
          <w:tcPr>
            <w:tcW w:w="108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Текущий год</w:t>
            </w:r>
          </w:p>
        </w:tc>
        <w:tc>
          <w:tcPr>
            <w:tcW w:w="126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Очередной год (</w:t>
            </w:r>
            <w:proofErr w:type="spellStart"/>
            <w:r w:rsidRPr="0019564E">
              <w:t>n</w:t>
            </w:r>
            <w:proofErr w:type="spellEnd"/>
            <w:r w:rsidRPr="0019564E">
              <w:t>)</w:t>
            </w:r>
          </w:p>
        </w:tc>
        <w:tc>
          <w:tcPr>
            <w:tcW w:w="126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Первый год планового периода</w:t>
            </w:r>
          </w:p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(</w:t>
            </w:r>
            <w:proofErr w:type="spellStart"/>
            <w:r w:rsidRPr="0019564E">
              <w:t>n</w:t>
            </w:r>
            <w:proofErr w:type="spellEnd"/>
            <w:r w:rsidRPr="0019564E">
              <w:t xml:space="preserve"> + 1)</w:t>
            </w:r>
          </w:p>
        </w:tc>
        <w:tc>
          <w:tcPr>
            <w:tcW w:w="126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Второй год планового периода</w:t>
            </w:r>
          </w:p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(</w:t>
            </w:r>
            <w:proofErr w:type="spellStart"/>
            <w:r w:rsidRPr="0019564E">
              <w:t>n</w:t>
            </w:r>
            <w:proofErr w:type="spellEnd"/>
            <w:r w:rsidRPr="0019564E">
              <w:t xml:space="preserve"> + 2)</w:t>
            </w:r>
          </w:p>
        </w:tc>
        <w:tc>
          <w:tcPr>
            <w:tcW w:w="198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Последующие годы периода прогнозирования</w:t>
            </w:r>
          </w:p>
        </w:tc>
      </w:tr>
      <w:tr w:rsidR="00F7175B" w:rsidRPr="0019564E" w:rsidTr="002568F8">
        <w:tc>
          <w:tcPr>
            <w:tcW w:w="1502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Default="00F7175B" w:rsidP="00A162FB">
      <w:pPr>
        <w:widowControl w:val="0"/>
        <w:autoSpaceDE w:val="0"/>
        <w:autoSpaceDN w:val="0"/>
        <w:jc w:val="both"/>
        <w:rPr>
          <w:sz w:val="28"/>
        </w:rPr>
      </w:pPr>
    </w:p>
    <w:p w:rsidR="00A162FB" w:rsidRPr="0019564E" w:rsidRDefault="00A162FB" w:rsidP="00A162FB">
      <w:pPr>
        <w:widowControl w:val="0"/>
        <w:autoSpaceDE w:val="0"/>
        <w:autoSpaceDN w:val="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left="5670"/>
        <w:outlineLvl w:val="1"/>
        <w:rPr>
          <w:sz w:val="28"/>
        </w:rPr>
      </w:pPr>
      <w:r w:rsidRPr="0019564E">
        <w:rPr>
          <w:sz w:val="28"/>
        </w:rPr>
        <w:lastRenderedPageBreak/>
        <w:t>Приложение № 2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>к Порядку разработки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 xml:space="preserve">бюджетного прогноза сельского поселения </w:t>
      </w:r>
      <w:proofErr w:type="spellStart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="00A162FB">
        <w:rPr>
          <w:rFonts w:eastAsia="Calibri"/>
          <w:color w:val="000000"/>
          <w:sz w:val="28"/>
          <w:szCs w:val="22"/>
          <w:u w:color="FFC000"/>
          <w:lang w:eastAsia="en-US"/>
        </w:rPr>
        <w:t xml:space="preserve"> </w:t>
      </w:r>
      <w:r w:rsidRPr="0019564E">
        <w:rPr>
          <w:sz w:val="28"/>
        </w:rPr>
        <w:t>сельсовет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>Республики Башкортостан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>на долгосрочный период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bookmarkStart w:id="3" w:name="P124"/>
      <w:bookmarkEnd w:id="3"/>
      <w:r w:rsidRPr="0019564E">
        <w:rPr>
          <w:sz w:val="28"/>
        </w:rPr>
        <w:t>ПРОГНОЗ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r w:rsidRPr="0019564E">
        <w:rPr>
          <w:sz w:val="28"/>
        </w:rPr>
        <w:t xml:space="preserve">основных характеристик   бюджета сельского поселения </w:t>
      </w:r>
      <w:proofErr w:type="spellStart"/>
      <w:r w:rsidR="009A031A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="009A031A">
        <w:rPr>
          <w:rFonts w:eastAsia="Calibri"/>
          <w:color w:val="000000"/>
          <w:sz w:val="28"/>
          <w:szCs w:val="22"/>
          <w:u w:color="FFC000"/>
          <w:lang w:eastAsia="en-US"/>
        </w:rPr>
        <w:t xml:space="preserve"> </w:t>
      </w:r>
      <w:r w:rsidRPr="0019564E">
        <w:rPr>
          <w:sz w:val="28"/>
        </w:rPr>
        <w:t>сельсовет</w:t>
      </w:r>
      <w:r>
        <w:rPr>
          <w:sz w:val="28"/>
        </w:rPr>
        <w:t xml:space="preserve"> </w:t>
      </w:r>
      <w:r w:rsidRPr="0019564E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r w:rsidRPr="0019564E">
        <w:rPr>
          <w:sz w:val="28"/>
        </w:rPr>
        <w:t>Республики Башкортостан на период до _______ года</w:t>
      </w: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right"/>
      </w:pPr>
      <w:r w:rsidRPr="0019564E">
        <w:t>(млн.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2"/>
        <w:gridCol w:w="1260"/>
        <w:gridCol w:w="1080"/>
        <w:gridCol w:w="1260"/>
        <w:gridCol w:w="1260"/>
        <w:gridCol w:w="1260"/>
        <w:gridCol w:w="1980"/>
      </w:tblGrid>
      <w:tr w:rsidR="00F7175B" w:rsidRPr="0019564E" w:rsidTr="002568F8">
        <w:tc>
          <w:tcPr>
            <w:tcW w:w="1502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Показатель</w:t>
            </w:r>
          </w:p>
        </w:tc>
        <w:tc>
          <w:tcPr>
            <w:tcW w:w="126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Отчетный год</w:t>
            </w:r>
          </w:p>
        </w:tc>
        <w:tc>
          <w:tcPr>
            <w:tcW w:w="108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Текущий год</w:t>
            </w:r>
          </w:p>
        </w:tc>
        <w:tc>
          <w:tcPr>
            <w:tcW w:w="126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Очередной год (</w:t>
            </w:r>
            <w:proofErr w:type="spellStart"/>
            <w:r w:rsidRPr="0019564E">
              <w:t>n</w:t>
            </w:r>
            <w:proofErr w:type="spellEnd"/>
            <w:r w:rsidRPr="0019564E">
              <w:t>)</w:t>
            </w:r>
          </w:p>
        </w:tc>
        <w:tc>
          <w:tcPr>
            <w:tcW w:w="126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Первый год планового периода</w:t>
            </w:r>
          </w:p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(</w:t>
            </w:r>
            <w:proofErr w:type="spellStart"/>
            <w:r w:rsidRPr="0019564E">
              <w:t>n</w:t>
            </w:r>
            <w:proofErr w:type="spellEnd"/>
            <w:r w:rsidRPr="0019564E">
              <w:t xml:space="preserve"> + 1)</w:t>
            </w:r>
          </w:p>
        </w:tc>
        <w:tc>
          <w:tcPr>
            <w:tcW w:w="126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Второй год планового периода</w:t>
            </w:r>
          </w:p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(</w:t>
            </w:r>
            <w:proofErr w:type="spellStart"/>
            <w:r w:rsidRPr="0019564E">
              <w:t>n</w:t>
            </w:r>
            <w:proofErr w:type="spellEnd"/>
            <w:r w:rsidRPr="0019564E">
              <w:t xml:space="preserve"> + 2)</w:t>
            </w:r>
          </w:p>
        </w:tc>
        <w:tc>
          <w:tcPr>
            <w:tcW w:w="198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Последующие годы периода прогнозирования</w:t>
            </w:r>
          </w:p>
        </w:tc>
      </w:tr>
      <w:tr w:rsidR="00F7175B" w:rsidRPr="0019564E" w:rsidTr="002568F8">
        <w:tc>
          <w:tcPr>
            <w:tcW w:w="1502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  <w:tc>
          <w:tcPr>
            <w:tcW w:w="126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  <w:tc>
          <w:tcPr>
            <w:tcW w:w="108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  <w:tc>
          <w:tcPr>
            <w:tcW w:w="126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  <w:tc>
          <w:tcPr>
            <w:tcW w:w="126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  <w:tc>
          <w:tcPr>
            <w:tcW w:w="126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  <w:tc>
          <w:tcPr>
            <w:tcW w:w="198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</w:tr>
    </w:tbl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9A031A" w:rsidRDefault="009A031A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9A031A" w:rsidRPr="0019564E" w:rsidRDefault="009A031A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ind w:left="5670"/>
        <w:outlineLvl w:val="1"/>
        <w:rPr>
          <w:sz w:val="28"/>
        </w:rPr>
      </w:pPr>
      <w:r w:rsidRPr="0019564E">
        <w:rPr>
          <w:sz w:val="28"/>
        </w:rPr>
        <w:lastRenderedPageBreak/>
        <w:t>Приложение № 3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>к Порядку разработки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>бюджетного прогноза сельского поселени</w:t>
      </w:r>
      <w:r w:rsidR="009A031A">
        <w:rPr>
          <w:sz w:val="28"/>
        </w:rPr>
        <w:t xml:space="preserve">я </w:t>
      </w:r>
      <w:proofErr w:type="spellStart"/>
      <w:r w:rsidR="009A031A">
        <w:rPr>
          <w:sz w:val="28"/>
        </w:rPr>
        <w:t>Янгантауский</w:t>
      </w:r>
      <w:proofErr w:type="spellEnd"/>
      <w:r w:rsidRPr="0019564E">
        <w:rPr>
          <w:sz w:val="28"/>
        </w:rPr>
        <w:t xml:space="preserve"> сельсовет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>Республики Башкортостан</w:t>
      </w:r>
    </w:p>
    <w:p w:rsidR="00F7175B" w:rsidRPr="0019564E" w:rsidRDefault="00F7175B" w:rsidP="00F7175B">
      <w:pPr>
        <w:widowControl w:val="0"/>
        <w:autoSpaceDE w:val="0"/>
        <w:autoSpaceDN w:val="0"/>
        <w:ind w:left="5670"/>
        <w:rPr>
          <w:sz w:val="28"/>
        </w:rPr>
      </w:pPr>
      <w:r w:rsidRPr="0019564E">
        <w:rPr>
          <w:sz w:val="28"/>
        </w:rPr>
        <w:t>на долгосрочный период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bookmarkStart w:id="4" w:name="P156"/>
      <w:bookmarkEnd w:id="4"/>
      <w:r w:rsidRPr="0019564E">
        <w:rPr>
          <w:sz w:val="28"/>
        </w:rPr>
        <w:t>ПРЕДЕЛЬНЫЕ РАСХОДЫ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  <w:r w:rsidRPr="0019564E">
        <w:rPr>
          <w:sz w:val="28"/>
        </w:rPr>
        <w:t xml:space="preserve">бюджета сельского поселения </w:t>
      </w:r>
      <w:proofErr w:type="spellStart"/>
      <w:r w:rsidR="009A031A">
        <w:rPr>
          <w:rFonts w:eastAsia="Calibri"/>
          <w:color w:val="000000"/>
          <w:sz w:val="28"/>
          <w:szCs w:val="22"/>
          <w:u w:color="FFC000"/>
          <w:lang w:eastAsia="en-US"/>
        </w:rPr>
        <w:t>Янгантауский</w:t>
      </w:r>
      <w:proofErr w:type="spellEnd"/>
      <w:r w:rsidRPr="0019564E"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финансовое обеспечение реализации муниципальных программ муниципального района </w:t>
      </w:r>
      <w:proofErr w:type="spellStart"/>
      <w:r>
        <w:rPr>
          <w:sz w:val="28"/>
        </w:rPr>
        <w:t>Салаватск</w:t>
      </w:r>
      <w:r w:rsidRPr="0019564E">
        <w:rPr>
          <w:sz w:val="28"/>
        </w:rPr>
        <w:t>ий</w:t>
      </w:r>
      <w:proofErr w:type="spellEnd"/>
      <w:r w:rsidRPr="0019564E">
        <w:rPr>
          <w:sz w:val="28"/>
        </w:rPr>
        <w:t xml:space="preserve"> район Республики Башкортостан на период до _______ года</w:t>
      </w:r>
    </w:p>
    <w:p w:rsidR="00F7175B" w:rsidRPr="0019564E" w:rsidRDefault="00F7175B" w:rsidP="00F7175B">
      <w:pPr>
        <w:widowControl w:val="0"/>
        <w:autoSpaceDE w:val="0"/>
        <w:autoSpaceDN w:val="0"/>
        <w:jc w:val="center"/>
        <w:rPr>
          <w:sz w:val="28"/>
        </w:rPr>
      </w:pPr>
    </w:p>
    <w:p w:rsidR="00F7175B" w:rsidRPr="0019564E" w:rsidRDefault="00F7175B" w:rsidP="00F7175B">
      <w:pPr>
        <w:widowControl w:val="0"/>
        <w:autoSpaceDE w:val="0"/>
        <w:autoSpaceDN w:val="0"/>
        <w:jc w:val="right"/>
      </w:pPr>
      <w:r w:rsidRPr="0019564E">
        <w:t>(млн. рублей)</w:t>
      </w:r>
    </w:p>
    <w:tbl>
      <w:tblPr>
        <w:tblW w:w="101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1"/>
        <w:gridCol w:w="850"/>
        <w:gridCol w:w="851"/>
        <w:gridCol w:w="1260"/>
        <w:gridCol w:w="1260"/>
        <w:gridCol w:w="1260"/>
        <w:gridCol w:w="2243"/>
      </w:tblGrid>
      <w:tr w:rsidR="00F7175B" w:rsidRPr="0019564E" w:rsidTr="002568F8">
        <w:tc>
          <w:tcPr>
            <w:tcW w:w="2411" w:type="dxa"/>
            <w:vAlign w:val="center"/>
          </w:tcPr>
          <w:p w:rsidR="00F7175B" w:rsidRPr="0019564E" w:rsidRDefault="00F7175B" w:rsidP="009A031A">
            <w:pPr>
              <w:widowControl w:val="0"/>
              <w:autoSpaceDE w:val="0"/>
              <w:autoSpaceDN w:val="0"/>
              <w:jc w:val="center"/>
            </w:pPr>
            <w:r w:rsidRPr="0019564E">
              <w:t xml:space="preserve">Наименование муниципальной программы </w:t>
            </w:r>
            <w:r w:rsidRPr="0019564E">
              <w:rPr>
                <w:sz w:val="28"/>
              </w:rPr>
              <w:t>сельского поселения ________________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="009A031A">
              <w:rPr>
                <w:rFonts w:eastAsia="Calibri"/>
                <w:color w:val="000000"/>
                <w:sz w:val="28"/>
                <w:szCs w:val="22"/>
                <w:u w:color="FFC000"/>
                <w:lang w:eastAsia="en-US"/>
              </w:rPr>
              <w:t>Янгантауский</w:t>
            </w:r>
            <w:proofErr w:type="spellEnd"/>
            <w:r w:rsidR="009A031A">
              <w:rPr>
                <w:rFonts w:eastAsia="Calibri"/>
                <w:color w:val="000000"/>
                <w:sz w:val="28"/>
                <w:szCs w:val="22"/>
                <w:u w:color="FFC000"/>
                <w:lang w:eastAsia="en-US"/>
              </w:rPr>
              <w:t xml:space="preserve"> </w:t>
            </w:r>
            <w:r w:rsidRPr="0019564E">
              <w:rPr>
                <w:sz w:val="28"/>
              </w:rPr>
              <w:t xml:space="preserve">сельсовет </w:t>
            </w:r>
            <w:r w:rsidRPr="0019564E">
              <w:t xml:space="preserve">муниципального района </w:t>
            </w:r>
            <w:proofErr w:type="spellStart"/>
            <w:r>
              <w:t>Салаватск</w:t>
            </w:r>
            <w:r w:rsidRPr="0019564E">
              <w:t>ий</w:t>
            </w:r>
            <w:proofErr w:type="spellEnd"/>
            <w:r w:rsidRPr="0019564E">
              <w:t xml:space="preserve"> район Республики Башкортостан</w:t>
            </w:r>
          </w:p>
        </w:tc>
        <w:tc>
          <w:tcPr>
            <w:tcW w:w="85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Отчетный год</w:t>
            </w:r>
          </w:p>
        </w:tc>
        <w:tc>
          <w:tcPr>
            <w:tcW w:w="851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Текущий год</w:t>
            </w:r>
          </w:p>
        </w:tc>
        <w:tc>
          <w:tcPr>
            <w:tcW w:w="126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Очередной год (</w:t>
            </w:r>
            <w:proofErr w:type="spellStart"/>
            <w:r w:rsidRPr="0019564E">
              <w:t>n</w:t>
            </w:r>
            <w:proofErr w:type="spellEnd"/>
            <w:r w:rsidRPr="0019564E">
              <w:t>)</w:t>
            </w:r>
          </w:p>
        </w:tc>
        <w:tc>
          <w:tcPr>
            <w:tcW w:w="126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Первый год планового периода</w:t>
            </w:r>
          </w:p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(</w:t>
            </w:r>
            <w:proofErr w:type="spellStart"/>
            <w:r w:rsidRPr="0019564E">
              <w:t>n</w:t>
            </w:r>
            <w:proofErr w:type="spellEnd"/>
            <w:r w:rsidRPr="0019564E">
              <w:t xml:space="preserve"> + 1)</w:t>
            </w:r>
          </w:p>
        </w:tc>
        <w:tc>
          <w:tcPr>
            <w:tcW w:w="1260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Второй год планового периода</w:t>
            </w:r>
          </w:p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(</w:t>
            </w:r>
            <w:proofErr w:type="spellStart"/>
            <w:r w:rsidRPr="0019564E">
              <w:t>n</w:t>
            </w:r>
            <w:proofErr w:type="spellEnd"/>
            <w:r w:rsidRPr="0019564E">
              <w:t xml:space="preserve"> + 2)</w:t>
            </w:r>
          </w:p>
        </w:tc>
        <w:tc>
          <w:tcPr>
            <w:tcW w:w="2243" w:type="dxa"/>
            <w:vAlign w:val="center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  <w:jc w:val="center"/>
            </w:pPr>
            <w:r w:rsidRPr="0019564E">
              <w:t>Последующие годы реализации муниципальной программы</w:t>
            </w:r>
            <w:r w:rsidRPr="0019564E">
              <w:rPr>
                <w:sz w:val="28"/>
              </w:rPr>
              <w:t xml:space="preserve"> сельского поселения _______________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="009A031A">
              <w:rPr>
                <w:rFonts w:eastAsia="Calibri"/>
                <w:color w:val="000000"/>
                <w:sz w:val="28"/>
                <w:szCs w:val="22"/>
                <w:u w:color="FFC000"/>
                <w:lang w:eastAsia="en-US"/>
              </w:rPr>
              <w:t>Янгантауский</w:t>
            </w:r>
            <w:proofErr w:type="spellEnd"/>
            <w:r w:rsidRPr="0019564E">
              <w:rPr>
                <w:sz w:val="28"/>
              </w:rPr>
              <w:t xml:space="preserve"> сельсовет</w:t>
            </w:r>
            <w:r w:rsidRPr="0019564E">
              <w:t xml:space="preserve"> муниципального района </w:t>
            </w:r>
            <w:proofErr w:type="spellStart"/>
            <w:r>
              <w:t>Салаватск</w:t>
            </w:r>
            <w:r w:rsidRPr="0019564E">
              <w:t>ий</w:t>
            </w:r>
            <w:proofErr w:type="spellEnd"/>
            <w:r w:rsidRPr="0019564E">
              <w:t xml:space="preserve"> район Республики Башкортостан</w:t>
            </w:r>
          </w:p>
        </w:tc>
      </w:tr>
      <w:tr w:rsidR="00F7175B" w:rsidRPr="0019564E" w:rsidTr="002568F8">
        <w:tc>
          <w:tcPr>
            <w:tcW w:w="2411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  <w:tc>
          <w:tcPr>
            <w:tcW w:w="126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  <w:tc>
          <w:tcPr>
            <w:tcW w:w="126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  <w:tc>
          <w:tcPr>
            <w:tcW w:w="1260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  <w:tc>
          <w:tcPr>
            <w:tcW w:w="2243" w:type="dxa"/>
          </w:tcPr>
          <w:p w:rsidR="00F7175B" w:rsidRPr="0019564E" w:rsidRDefault="00F7175B" w:rsidP="002568F8">
            <w:pPr>
              <w:widowControl w:val="0"/>
              <w:autoSpaceDE w:val="0"/>
              <w:autoSpaceDN w:val="0"/>
            </w:pPr>
          </w:p>
        </w:tc>
      </w:tr>
    </w:tbl>
    <w:p w:rsidR="00F7175B" w:rsidRPr="0019564E" w:rsidRDefault="00F7175B" w:rsidP="00F7175B">
      <w:pPr>
        <w:widowControl w:val="0"/>
        <w:autoSpaceDE w:val="0"/>
        <w:autoSpaceDN w:val="0"/>
        <w:ind w:firstLine="540"/>
        <w:jc w:val="both"/>
        <w:rPr>
          <w:sz w:val="28"/>
        </w:rPr>
      </w:pPr>
    </w:p>
    <w:p w:rsidR="00F7175B" w:rsidRPr="0019564E" w:rsidRDefault="00F7175B" w:rsidP="00F7175B">
      <w:pPr>
        <w:rPr>
          <w:rFonts w:eastAsia="Calibri"/>
          <w:sz w:val="28"/>
          <w:szCs w:val="22"/>
          <w:lang w:eastAsia="en-US"/>
        </w:rPr>
      </w:pPr>
    </w:p>
    <w:p w:rsidR="00CE3A1D" w:rsidRDefault="00CE3A1D" w:rsidP="00F7175B">
      <w:pPr>
        <w:tabs>
          <w:tab w:val="left" w:pos="180"/>
        </w:tabs>
        <w:jc w:val="center"/>
      </w:pPr>
    </w:p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1810"/>
    <w:multiLevelType w:val="hybridMultilevel"/>
    <w:tmpl w:val="383CD07A"/>
    <w:lvl w:ilvl="0" w:tplc="709C962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54E28"/>
    <w:rsid w:val="00054E28"/>
    <w:rsid w:val="00070174"/>
    <w:rsid w:val="00082E9C"/>
    <w:rsid w:val="00086030"/>
    <w:rsid w:val="000A4B4E"/>
    <w:rsid w:val="000C30C2"/>
    <w:rsid w:val="000D2D89"/>
    <w:rsid w:val="00113C94"/>
    <w:rsid w:val="00141A74"/>
    <w:rsid w:val="00141F85"/>
    <w:rsid w:val="001A51F0"/>
    <w:rsid w:val="00202427"/>
    <w:rsid w:val="002143A6"/>
    <w:rsid w:val="00262611"/>
    <w:rsid w:val="00262861"/>
    <w:rsid w:val="002E1356"/>
    <w:rsid w:val="003A5372"/>
    <w:rsid w:val="003D04FB"/>
    <w:rsid w:val="004254C0"/>
    <w:rsid w:val="0042584C"/>
    <w:rsid w:val="004A464F"/>
    <w:rsid w:val="004B6DC8"/>
    <w:rsid w:val="004F1960"/>
    <w:rsid w:val="00516FB5"/>
    <w:rsid w:val="0054014B"/>
    <w:rsid w:val="00542043"/>
    <w:rsid w:val="00570DEB"/>
    <w:rsid w:val="005D5550"/>
    <w:rsid w:val="005D744A"/>
    <w:rsid w:val="005E756F"/>
    <w:rsid w:val="005F4127"/>
    <w:rsid w:val="00636195"/>
    <w:rsid w:val="00637C5E"/>
    <w:rsid w:val="00774A70"/>
    <w:rsid w:val="0078529E"/>
    <w:rsid w:val="007E1513"/>
    <w:rsid w:val="00802BD7"/>
    <w:rsid w:val="00830F18"/>
    <w:rsid w:val="008A6A3C"/>
    <w:rsid w:val="00916E25"/>
    <w:rsid w:val="009A031A"/>
    <w:rsid w:val="009F5FE4"/>
    <w:rsid w:val="00A162FB"/>
    <w:rsid w:val="00A646A2"/>
    <w:rsid w:val="00A667C0"/>
    <w:rsid w:val="00AA1BCC"/>
    <w:rsid w:val="00AF3C8C"/>
    <w:rsid w:val="00B314A0"/>
    <w:rsid w:val="00B65425"/>
    <w:rsid w:val="00BC68CA"/>
    <w:rsid w:val="00BF709C"/>
    <w:rsid w:val="00C3341D"/>
    <w:rsid w:val="00C33D22"/>
    <w:rsid w:val="00CE3A1D"/>
    <w:rsid w:val="00CF49F7"/>
    <w:rsid w:val="00D524CD"/>
    <w:rsid w:val="00D710F8"/>
    <w:rsid w:val="00DB4A6B"/>
    <w:rsid w:val="00DD5E06"/>
    <w:rsid w:val="00DE1F71"/>
    <w:rsid w:val="00E34FB9"/>
    <w:rsid w:val="00EA6B96"/>
    <w:rsid w:val="00F0174A"/>
    <w:rsid w:val="00F25DB5"/>
    <w:rsid w:val="00F558B4"/>
    <w:rsid w:val="00F7175B"/>
    <w:rsid w:val="00F906FD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88679F9287ED10C2A8273A5390883C3B0A870DC72B45DF9692E7DE5A91AB6BV1O4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F88679F9287ED10C2A8272C50FCD7353901D909C9244B8BCCCDBC830D98A13C53AF13E643CBV8O3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F88679F9287ED10C2A8272C50FCD7353901D909C9244B8BCCCDBC830DV9O8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88679F9287ED10C2A8273A5390883C3B0A870DCF2245DD9398BAD452C8A76913EF15B1088D88C96D89EB17V6O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88679F9287ED10C2A8273A5390883C3B0A870DC72545D59892E7DE5A91AB6BV1O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281B7E-E7BA-484C-9714-1AB3AF02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9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w10</cp:lastModifiedBy>
  <cp:revision>39</cp:revision>
  <cp:lastPrinted>2021-06-24T08:28:00Z</cp:lastPrinted>
  <dcterms:created xsi:type="dcterms:W3CDTF">2016-03-24T11:16:00Z</dcterms:created>
  <dcterms:modified xsi:type="dcterms:W3CDTF">2021-06-28T04:34:00Z</dcterms:modified>
</cp:coreProperties>
</file>