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6" w:rsidRPr="00E851A7" w:rsidRDefault="00426326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326" w:rsidRDefault="00426326" w:rsidP="00D6453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5034EB" w:rsidRDefault="00D64533" w:rsidP="00D6453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50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0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26326" w:rsidRPr="001373A1" w:rsidRDefault="00D64533" w:rsidP="00D64533">
      <w:pPr>
        <w:pStyle w:val="ConsPlusNormal"/>
        <w:ind w:left="510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>ельского поселения Янгантауский сельсовет м</w:t>
      </w:r>
      <w:r w:rsidR="005034EB">
        <w:rPr>
          <w:rFonts w:ascii="Times New Roman" w:hAnsi="Times New Roman" w:cs="Times New Roman"/>
          <w:color w:val="000000" w:themeColor="text1"/>
          <w:sz w:val="28"/>
          <w:szCs w:val="28"/>
        </w:rPr>
        <w:t>униципа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>льного района Салаватский район РБ</w:t>
      </w:r>
    </w:p>
    <w:p w:rsidR="00AE0A71" w:rsidRPr="00E851A7" w:rsidRDefault="00426326" w:rsidP="00D64533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от  «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» 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D6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F2594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6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года  №</w:t>
      </w:r>
      <w:r w:rsidR="00D6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80 </w:t>
      </w:r>
    </w:p>
    <w:p w:rsidR="000F6C3E" w:rsidRPr="00E851A7" w:rsidRDefault="000F6C3E" w:rsidP="00D64533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6C3E" w:rsidRPr="00E851A7" w:rsidRDefault="000F6C3E" w:rsidP="009950A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594A" w:rsidRPr="00E851A7" w:rsidRDefault="00F2594A" w:rsidP="00F2594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0536DF" w:rsidRDefault="00673366" w:rsidP="00F2594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взаимодействия при осуществлении контроля </w:t>
      </w:r>
      <w:r w:rsidR="00137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Администрации сельского поселения</w:t>
      </w:r>
      <w:r w:rsidR="00780B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Янгантауский </w:t>
      </w:r>
      <w:r w:rsidR="001373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сельсовет муниципального района Салаватский район Республики Башкортостан</w:t>
      </w:r>
      <w:r w:rsidRPr="0067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субъектами контроля</w:t>
      </w:r>
      <w:r w:rsidR="00F2594A" w:rsidRPr="00E851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</w:p>
    <w:p w:rsidR="009950AF" w:rsidRPr="00E851A7" w:rsidRDefault="00F2594A" w:rsidP="00F2594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12 декабря 2015 года № 1367</w:t>
      </w:r>
    </w:p>
    <w:p w:rsidR="000F6C3E" w:rsidRPr="00E851A7" w:rsidRDefault="000F6C3E" w:rsidP="009950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8B9" w:rsidRPr="00E851A7" w:rsidRDefault="00D829BA" w:rsidP="00880C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B566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устанавливает правила взаимодействия  </w:t>
      </w:r>
      <w:r w:rsidR="00B56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осуществления контроля </w:t>
      </w:r>
      <w:r w:rsidR="001373A1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780BCE">
        <w:rPr>
          <w:rFonts w:ascii="Times New Roman" w:hAnsi="Times New Roman" w:cs="Times New Roman"/>
          <w:sz w:val="28"/>
          <w:szCs w:val="28"/>
        </w:rPr>
        <w:t xml:space="preserve"> Янгантауский</w:t>
      </w:r>
      <w:r w:rsidR="001373A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880C5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880C5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субъектами контроля, указанными в пункт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е4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1367 (далее – субъек</w:t>
      </w:r>
      <w:r w:rsidR="00B858B9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ты контроля, Правила контроля).</w:t>
      </w:r>
    </w:p>
    <w:p w:rsidR="00123FCD" w:rsidRPr="00E851A7" w:rsidRDefault="00B858B9" w:rsidP="00880C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</w:t>
      </w:r>
      <w:r w:rsidR="00B566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применяется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размещении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субъектами контроля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единой информационной системе в сфере закупок или направлении на согласование в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определенных Федеральным законом от 5 апреля 2013 г</w:t>
      </w:r>
      <w:r w:rsidR="00CA3A8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="00123FC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 соответственно - контроль, объекты контроля, Федеральный закон)</w:t>
      </w:r>
      <w:r w:rsidR="006733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22D9" w:rsidRPr="00E851A7" w:rsidRDefault="00BE22D9" w:rsidP="00BE22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Взаимодействие субъектов контроля с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контроля информации, определенной частью 5 статьи 99 Федерального закона, содержащейся в объектах контроля (далее – контролируемая информация), осуществляется: </w:t>
      </w:r>
    </w:p>
    <w:p w:rsidR="00BE22D9" w:rsidRPr="00E851A7" w:rsidRDefault="00BE22D9" w:rsidP="009079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</w:t>
      </w:r>
      <w:r w:rsidR="009079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информационной системой в сфере закупок товаров, работ, </w:t>
      </w:r>
      <w:r w:rsidR="009079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услуг для обеспечения нужд Республики Башкортостан (далее – Региональная информационная система)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контроля в форме электронного документа в соответствии с едиными форматами, установленными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Российской Федерации в соответствии с Правилами функционирования единой информационной системы в сфере закупок, утвержденными постановлением Правительства Российской Федерации от 23 декабря 2015 г</w:t>
      </w:r>
      <w:r w:rsidR="00CE71F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1414 (далее – электронный документ, форматы);</w:t>
      </w:r>
    </w:p>
    <w:p w:rsidR="00B9644B" w:rsidRPr="00E851A7" w:rsidRDefault="00BE22D9" w:rsidP="00BE22D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согласовании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контроля или сведений об объектах контроля, предусмотренных подпунктом «б» пункта 8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:rsidR="00CE71F7" w:rsidRPr="00E851A7" w:rsidRDefault="00CE71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размещении электронного документа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Региональной информационной системы направляет субъекту контроля </w:t>
      </w:r>
      <w:r w:rsidR="00C2171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5264FE" w:rsidRPr="00E851A7" w:rsidRDefault="00CE71F7" w:rsidP="00880C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264FE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 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6F2062" w:rsidRPr="00E851A7" w:rsidRDefault="00CE71F7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F206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Сведения о закрытых объектах контроля направляются в </w:t>
      </w:r>
      <w:r w:rsidR="001373A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6F206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следующих формах:</w:t>
      </w:r>
    </w:p>
    <w:p w:rsidR="006F2062" w:rsidRPr="00E851A7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приглашении принять участие в  определении поставщика (подрядчика, исполнителя) - по форме согласно приложению № 1 к настоящему Порядку (далее – сведения о приглашении);</w:t>
      </w:r>
    </w:p>
    <w:p w:rsidR="006F2062" w:rsidRPr="00E851A7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документации о закупке - по форме согласно                приложению № 2 к настоящему Порядку (далее – сведения о документации);</w:t>
      </w:r>
    </w:p>
    <w:p w:rsidR="006F2062" w:rsidRPr="00E851A7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протоколе определения поставщика (подрядчика, исполнителя) - по форме согласно приложению № 3 к настоящему Порядку (далее – сведения о протоколе);</w:t>
      </w:r>
    </w:p>
    <w:p w:rsidR="006F2062" w:rsidRPr="008F4FE1" w:rsidRDefault="006F2062" w:rsidP="006F206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проекте контракта, направляемого участнику закупки (контракта, возвращаемого участником закупки) - по форме согласно приложению № 4 к настоящему Порядку (далее – сведения о проекте </w:t>
      </w:r>
      <w:r w:rsidRPr="008F4FE1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контракта);</w:t>
      </w:r>
    </w:p>
    <w:p w:rsidR="004449A9" w:rsidRPr="008F4FE1" w:rsidRDefault="004449A9" w:rsidP="004449A9">
      <w:pPr>
        <w:rPr>
          <w:color w:val="000000" w:themeColor="text1"/>
          <w:szCs w:val="28"/>
        </w:rPr>
      </w:pPr>
      <w:r w:rsidRPr="008F4FE1">
        <w:rPr>
          <w:color w:val="000000" w:themeColor="text1"/>
          <w:szCs w:val="28"/>
        </w:rPr>
        <w:t>сведения о контракте  (его изменении), включаемые в реестр контрактов, содержащий сведения, составляющие государственную тайну, - по форме, установленной законодательством.</w:t>
      </w:r>
    </w:p>
    <w:p w:rsidR="0079769C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FE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9769C" w:rsidRPr="008F4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Закрытые объекты контроля, сведения о закрытых объектах контроля 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направляются субъектом контроля для согласования в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 в </w:t>
      </w:r>
      <w:r w:rsidR="001E73A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экземплярах.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идентичность сведений, представленных на указанных носителях.</w:t>
      </w:r>
    </w:p>
    <w:p w:rsidR="0079769C" w:rsidRPr="00E851A7" w:rsidRDefault="0086018E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проставляет на закрытом объекте контроля, сведениях о закрытом объекте контроля регистрационный номер, дату и время получения, подпись уполномоченного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возвращает субъекту контроля один экземпляр закрытого объекта контроля или сведений о закрытом объекте контроля. </w:t>
      </w:r>
    </w:p>
    <w:p w:rsidR="0079769C" w:rsidRPr="00E851A7" w:rsidRDefault="0079769C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79769C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 Закрытые объекты контроля, сведения о закрытых объектах  контроля, направляемые на бумажном носителе, подписываются лицом, имеющим право действовать от имени субъекта контроля.</w:t>
      </w:r>
    </w:p>
    <w:p w:rsidR="0079769C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субъектов контроля с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закрытые объекты контроля, сведения о закрытых объектах контроля, содержащие сведения, составляющие государственную тайну, направляются в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79769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соблюдением требований законодательства Российской Федерации о защите государственной тайны.</w:t>
      </w:r>
    </w:p>
    <w:p w:rsidR="00FB08E6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B08E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 субъектами контроля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B08E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910876" w:rsidRPr="00E851A7" w:rsidRDefault="003642E9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а) субъектов контроля, указанных в подпункте «а» пункта 4 Правил контроля (далее – получатели бюджетных средств</w:t>
      </w:r>
      <w:r w:rsidR="0091087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F2552B" w:rsidRPr="00780BCE" w:rsidRDefault="00673366" w:rsidP="00797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BCE">
        <w:rPr>
          <w:rFonts w:ascii="Times New Roman" w:hAnsi="Times New Roman" w:cs="Times New Roman"/>
          <w:sz w:val="28"/>
          <w:szCs w:val="28"/>
        </w:rPr>
        <w:t xml:space="preserve"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Порядком учета бюджетных обязательств получателей средств бюджета </w:t>
      </w:r>
      <w:r w:rsidR="00A15C46" w:rsidRPr="00780B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80BCE">
        <w:rPr>
          <w:rFonts w:ascii="Times New Roman" w:hAnsi="Times New Roman" w:cs="Times New Roman"/>
          <w:sz w:val="28"/>
          <w:szCs w:val="28"/>
        </w:rPr>
        <w:t xml:space="preserve">Янгантауский </w:t>
      </w:r>
      <w:r w:rsidR="00A15C46" w:rsidRPr="00780BCE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</w:t>
      </w:r>
      <w:r w:rsidRPr="00780BCE">
        <w:rPr>
          <w:rFonts w:ascii="Times New Roman" w:hAnsi="Times New Roman" w:cs="Times New Roman"/>
          <w:sz w:val="28"/>
          <w:szCs w:val="28"/>
        </w:rPr>
        <w:t xml:space="preserve">, утвержденным приказом Министерства от 14 ноября 2008 года № 50 (далее – Порядок учета бюджетных обязательств), на учет бюджетных обязательств; </w:t>
      </w:r>
    </w:p>
    <w:p w:rsidR="003642E9" w:rsidRPr="00E851A7" w:rsidRDefault="003642E9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сведениям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 объемах средств, указанных в правовых  актах (проектах 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актов, размещенных в установленном порядке в целях общественного обсуждения)</w:t>
      </w:r>
      <w:r w:rsidR="003441A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Башкортостан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документах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73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Правительством </w:t>
      </w:r>
      <w:r w:rsidR="00673366" w:rsidRPr="0010058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  <w:r w:rsidRPr="006733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5612" w:rsidRPr="00CD388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D3881">
        <w:rPr>
          <w:rFonts w:ascii="Times New Roman" w:hAnsi="Times New Roman" w:cs="Times New Roman"/>
          <w:color w:val="000000" w:themeColor="text1"/>
          <w:sz w:val="28"/>
          <w:szCs w:val="28"/>
        </w:rPr>
        <w:t>редусматривающих в соответствии с бюджетным законодательством Российской Федерации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заключения государственного контракта на срок, превышающий срок действия доведенных лимитов бюджетных обязательств, направляемых 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Администрацию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90A88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приложению № </w:t>
      </w:r>
      <w:r w:rsidR="0025742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10561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включения в план закупок информации о закупках, оплата которых планируется по истечении планового периода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42E9" w:rsidRPr="00E851A7" w:rsidRDefault="003642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субъектов контроля, указанных в подпунктах «б», «в» (в части автономных учреждений) пункта 4 Правил контроля (далее – учреждения),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предмет непревышения</w:t>
      </w:r>
      <w:r w:rsidR="00ED02F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показателей выплат по расходам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 закупки товаров, работ, услуг, осуществляемых в соответствии с Федеральным законом, отраженных в таблице 2.1 пункта 8 Требований к плану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28 июля 2010 года № 81н</w:t>
      </w:r>
      <w:r w:rsidR="00296F86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план ФХД)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C75E4" w:rsidRPr="00E851A7" w:rsidRDefault="00FC75E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в) субъектов контроля, указанных в подпункте «в» пункта 4 (в части государственных унитарных предприятий) Правил контроля (далее – унитарные предприятия),на предмет непревышения</w:t>
      </w:r>
      <w:r w:rsidR="0077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F4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суммы бюджетного обязательства</w:t>
      </w:r>
      <w:r w:rsidR="003441A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бюджетных средств</w:t>
      </w:r>
      <w:r w:rsidR="00986F4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поставленного на учет в соответствии с Порядком учета бюджетных обязательств.</w:t>
      </w:r>
    </w:p>
    <w:p w:rsidR="00E00654" w:rsidRPr="00E851A7" w:rsidRDefault="00CE71F7" w:rsidP="00797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 субъектами контроля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контроль в соответствии </w:t>
      </w:r>
      <w:r w:rsidR="003441A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00654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планов закупок, являющихся объектами контроля (закрытыми объектами контроля):</w:t>
      </w:r>
    </w:p>
    <w:p w:rsidR="00E00654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 </w:t>
      </w:r>
      <w:r w:rsidR="003A107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размещении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субъектами контроля</w:t>
      </w:r>
      <w:r w:rsidR="00EE62A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 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Порядка </w:t>
      </w:r>
      <w:r w:rsidR="00EE62A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 контроля в ЕИС и направлении закрытого объекта контроля на согласование в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00654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постановке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учет бюджетных обязательств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внесении изменений в поставленное на учет бюджетное обязательство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3757D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орядком учета бюджетных обязательств,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 бюджетных обязательств,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связанных с закупк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услуг, не включенны</w:t>
      </w:r>
      <w:r w:rsidR="003C6AD5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план закупок;</w:t>
      </w:r>
    </w:p>
    <w:p w:rsidR="00E00654" w:rsidRPr="00780BCE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BCE">
        <w:rPr>
          <w:rFonts w:ascii="Times New Roman" w:hAnsi="Times New Roman" w:cs="Times New Roman"/>
          <w:sz w:val="28"/>
          <w:szCs w:val="28"/>
        </w:rPr>
        <w:t xml:space="preserve">в) </w:t>
      </w:r>
      <w:r w:rsidR="007619C4" w:rsidRPr="00780BCE">
        <w:rPr>
          <w:rFonts w:ascii="Times New Roman" w:hAnsi="Times New Roman" w:cs="Times New Roman"/>
          <w:sz w:val="28"/>
          <w:szCs w:val="28"/>
        </w:rPr>
        <w:t xml:space="preserve">при уменьшении субъекту контроля как получателю бюджетных средств  в соответствии с Порядком составления и ведения сводной бюджетной росписи бюджета </w:t>
      </w:r>
      <w:r w:rsidR="00A15C46" w:rsidRPr="00780B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7585D">
        <w:rPr>
          <w:rFonts w:ascii="Times New Roman" w:hAnsi="Times New Roman" w:cs="Times New Roman"/>
          <w:sz w:val="28"/>
          <w:szCs w:val="28"/>
        </w:rPr>
        <w:t xml:space="preserve">Янгантауский </w:t>
      </w:r>
      <w:r w:rsidR="00A15C46" w:rsidRPr="00780BCE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</w:t>
      </w:r>
      <w:r w:rsidR="007619C4" w:rsidRPr="00780BCE">
        <w:rPr>
          <w:rFonts w:ascii="Times New Roman" w:hAnsi="Times New Roman" w:cs="Times New Roman"/>
          <w:sz w:val="28"/>
          <w:szCs w:val="28"/>
        </w:rPr>
        <w:t xml:space="preserve"> и бюджетных росписей главных распорядителей средств бюджета </w:t>
      </w:r>
      <w:r w:rsidR="00A15C46" w:rsidRPr="00780B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80BCE">
        <w:rPr>
          <w:rFonts w:ascii="Times New Roman" w:hAnsi="Times New Roman" w:cs="Times New Roman"/>
          <w:sz w:val="28"/>
          <w:szCs w:val="28"/>
        </w:rPr>
        <w:t xml:space="preserve">Янгантауский </w:t>
      </w:r>
      <w:r w:rsidR="00A15C46" w:rsidRPr="00780BCE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</w:t>
      </w:r>
      <w:r w:rsidR="007619C4" w:rsidRPr="00780BCE">
        <w:rPr>
          <w:rFonts w:ascii="Times New Roman" w:hAnsi="Times New Roman" w:cs="Times New Roman"/>
          <w:sz w:val="28"/>
          <w:szCs w:val="28"/>
        </w:rPr>
        <w:t xml:space="preserve"> (главных администраторов источников финансирования дефицита бюджета </w:t>
      </w:r>
      <w:r w:rsidR="00A15C46" w:rsidRPr="00780BC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80BCE">
        <w:rPr>
          <w:rFonts w:ascii="Times New Roman" w:hAnsi="Times New Roman" w:cs="Times New Roman"/>
          <w:sz w:val="28"/>
          <w:szCs w:val="28"/>
        </w:rPr>
        <w:t xml:space="preserve">Янгантауский </w:t>
      </w:r>
      <w:r w:rsidR="00A15C46" w:rsidRPr="00780BCE">
        <w:rPr>
          <w:rFonts w:ascii="Times New Roman" w:hAnsi="Times New Roman" w:cs="Times New Roman"/>
          <w:sz w:val="28"/>
          <w:szCs w:val="28"/>
        </w:rPr>
        <w:t>сельсовет муниципального района Салаватский район Республики Башкортостан</w:t>
      </w:r>
      <w:r w:rsidR="007619C4" w:rsidRPr="00780BCE">
        <w:rPr>
          <w:rFonts w:ascii="Times New Roman" w:hAnsi="Times New Roman" w:cs="Times New Roman"/>
          <w:sz w:val="28"/>
          <w:szCs w:val="28"/>
        </w:rPr>
        <w:t>), утвержденным приказом Министерства от 25 декабря 2009 года № 52,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  <w:bookmarkStart w:id="0" w:name="_GoBack"/>
      <w:bookmarkEnd w:id="0"/>
    </w:p>
    <w:p w:rsidR="00E00654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г) при уменьшении показателей выплат на закупку товаров, работ, услуг, осуществляемых в соответствии с Федеральным законом, включенных в планы </w:t>
      </w:r>
      <w:r w:rsidR="00FD2CB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ФХД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642E9" w:rsidRPr="00E851A7" w:rsidRDefault="00E00654" w:rsidP="00E006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</w:t>
      </w:r>
      <w:r w:rsidR="005D553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2 Бюджетного кодекса Российской Федерации</w:t>
      </w:r>
      <w:r w:rsidR="00FD2CB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определяемых в соответствии с подпунктом «в» пункта 9 настоящего Порядка.</w:t>
      </w:r>
    </w:p>
    <w:p w:rsidR="000F6ACC" w:rsidRPr="00E851A7" w:rsidRDefault="00CE71F7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0F6AC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При осуществлении взаимодействия с субъектами контроля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6AC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план-график </w:t>
      </w:r>
      <w:r w:rsidR="00921153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графике</w:t>
      </w:r>
      <w:r w:rsidR="0030249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</w:t>
      </w:r>
      <w:r w:rsidR="0030249A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в) протокол определения поставщика (подрядчика, исполнителя) (сведения о протоколе) на: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г) проект контракта, направляемый участнику закупки (контракт, возвращаемый участником закупки) (сведения о проекте контракта)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соответствие содержащихся в нем (них):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д) информацию, включаемую в реестр контрактов (сведения, включаемые в закрытый реестр контрактов)</w:t>
      </w:r>
      <w:r w:rsidR="00BF0B4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соответствие:</w:t>
      </w:r>
    </w:p>
    <w:p w:rsidR="000F6AC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:rsidR="0079769C" w:rsidRPr="00E851A7" w:rsidRDefault="000F6ACC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(сведений) о цене контракта – цене, указанной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условиях контракта в контракте (в сведениях о проекте контракта).</w:t>
      </w:r>
    </w:p>
    <w:p w:rsidR="00F42ABB" w:rsidRPr="00E851A7" w:rsidRDefault="00CE71F7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Указанные в пункте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объекты контроля проверяются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размещении в ЕИС, а закрытые объекты контроля (сведения о закрытых объектах контроля) - при согласовании их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F42ABB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1BFD" w:rsidRPr="00E851A7" w:rsidRDefault="00CE71F7" w:rsidP="000F6AC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Предусмотренное пунктом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взаимодействие субъектов контроля с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проверке объектов контроля (сведений об объектах контроля), указанных в подпунктах «б» - «г» пункта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1BF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осуществляется с учетом следующих особенностей: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на: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</w:t>
      </w:r>
      <w:r w:rsidR="006105A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заказчика;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 в таком протоколе (сведени</w:t>
      </w:r>
      <w:r w:rsidR="006105A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77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объекты контроля по закупкам, указываемым в плане-графике </w:t>
      </w:r>
      <w:r w:rsidR="00A3506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отдельной строкой в</w:t>
      </w:r>
      <w:r w:rsidR="00A3506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случаях проверяются на непревышение включенной в план-график </w:t>
      </w:r>
      <w:r w:rsidR="00A35060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закупок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планируемых платежах по  таким закупкам с учетом: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</w:t>
      </w:r>
      <w:r w:rsidR="000F643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подрядчика,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исполнителя) по которым не завершены;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на: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идентификационного кода закупки - аналогичной информации, содержащейся в документации</w:t>
      </w:r>
      <w:r w:rsidR="000F643C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закупке (сведениях о документации</w:t>
      </w:r>
      <w:r w:rsidR="004A255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191BFD" w:rsidRPr="00E851A7" w:rsidRDefault="00191BFD" w:rsidP="00191BF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FA5CB2" w:rsidRPr="00E851A7" w:rsidRDefault="00CE71F7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FA5C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сроки, установленные пунктами 14 и 15 Правил контроля, со дня направления субъекту контроля </w:t>
      </w:r>
      <w:r w:rsidR="004A255D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="00FA5C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начале контроля или поступления объекта контроля на бумажном носителе в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</w:t>
      </w:r>
      <w:r w:rsidR="00FA5CB2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случае соответствия при проведении проверки объекта контроля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(закрытого объекта контроля, сведений о закрытом объекте контроля) требованиям, установленным Правилами контроля и настоящим Порядком, объект контроля размещается в ЕИС </w:t>
      </w:r>
      <w:r w:rsidR="000F2C2D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543A38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7EC6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</w:t>
      </w:r>
      <w:r w:rsidR="000F2C2D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="00092513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513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к Общим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</w:t>
      </w:r>
      <w:r w:rsidR="00092513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</w:t>
      </w:r>
      <w:r w:rsidR="00BE5274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12 декабря 2015 года № 1367, утвержденны</w:t>
      </w:r>
      <w:r w:rsidR="00BE5274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50F8B"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финансов Российской Федерации от22 июля 2016 года № 120н,</w:t>
      </w:r>
      <w:r w:rsidRPr="009B7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отметку о соответствии закрытой контролируемой 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случае выявления при проведении </w:t>
      </w:r>
      <w:r w:rsidR="0086018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проверки несоответствия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субъекту контроля в </w:t>
      </w:r>
      <w:r w:rsidR="00854E61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Региональной информационной системе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частью 5 статьи 99 Федерального закона, по форме согласно приложению</w:t>
      </w:r>
      <w:r w:rsidRPr="00450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50F8B" w:rsidRPr="00450F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 и при проверке контролируемой информации, содержащейся: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проставляет на сведениях о приглашении, сведениях о проекте контракта отметку о несоответствии включенной в них контролируемой информации (далее – отметка о несоответствии);</w:t>
      </w:r>
    </w:p>
    <w:p w:rsidR="00FA5CB2" w:rsidRPr="00E851A7" w:rsidRDefault="00FA5CB2" w:rsidP="00FA5CB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</w:t>
      </w:r>
      <w:r w:rsidR="005B6978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, исполнителем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или </w:t>
      </w:r>
      <w:r w:rsidR="00FB08C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775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подпунктами «б» и «в» пункта </w:t>
      </w:r>
      <w:r w:rsidR="00CE71F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995FEC" w:rsidRPr="00E851A7" w:rsidRDefault="00FA5CB2" w:rsidP="00152D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объектах контроля, указанных в пункте </w:t>
      </w:r>
      <w:r w:rsidR="00CE71F7"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</w:t>
      </w:r>
      <w:r w:rsidR="0078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внесения в них изменений не размещает такие объекты в ЕИС или </w:t>
      </w:r>
      <w:r w:rsidRPr="00E851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sectPr w:rsidR="00995FEC" w:rsidRPr="00E851A7" w:rsidSect="005D0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529" w:rsidRDefault="00280529" w:rsidP="009470C4">
      <w:r>
        <w:separator/>
      </w:r>
    </w:p>
  </w:endnote>
  <w:endnote w:type="continuationSeparator" w:id="1">
    <w:p w:rsidR="00280529" w:rsidRDefault="00280529" w:rsidP="00947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529" w:rsidRDefault="00280529" w:rsidP="009470C4">
      <w:r>
        <w:separator/>
      </w:r>
    </w:p>
  </w:footnote>
  <w:footnote w:type="continuationSeparator" w:id="1">
    <w:p w:rsidR="00280529" w:rsidRDefault="00280529" w:rsidP="00947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3001194"/>
      <w:docPartObj>
        <w:docPartGallery w:val="Page Numbers (Top of Page)"/>
        <w:docPartUnique/>
      </w:docPartObj>
    </w:sdtPr>
    <w:sdtContent>
      <w:p w:rsidR="005B666B" w:rsidRDefault="00757B06">
        <w:pPr>
          <w:pStyle w:val="a6"/>
          <w:jc w:val="center"/>
        </w:pPr>
        <w:r>
          <w:fldChar w:fldCharType="begin"/>
        </w:r>
        <w:r w:rsidR="005B666B">
          <w:instrText>PAGE   \* MERGEFORMAT</w:instrText>
        </w:r>
        <w:r>
          <w:fldChar w:fldCharType="separate"/>
        </w:r>
        <w:r w:rsidR="00D64533">
          <w:rPr>
            <w:noProof/>
          </w:rPr>
          <w:t>9</w:t>
        </w:r>
        <w:r>
          <w:fldChar w:fldCharType="end"/>
        </w:r>
      </w:p>
    </w:sdtContent>
  </w:sdt>
  <w:p w:rsidR="009470C4" w:rsidRDefault="009470C4" w:rsidP="009470C4">
    <w:pPr>
      <w:pStyle w:val="a6"/>
      <w:tabs>
        <w:tab w:val="clear" w:pos="4677"/>
        <w:tab w:val="clear" w:pos="9355"/>
        <w:tab w:val="left" w:pos="363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66B" w:rsidRDefault="005B66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A43F0"/>
    <w:rsid w:val="00012C91"/>
    <w:rsid w:val="0004715C"/>
    <w:rsid w:val="000536DF"/>
    <w:rsid w:val="00064F4E"/>
    <w:rsid w:val="00092513"/>
    <w:rsid w:val="0009366E"/>
    <w:rsid w:val="000B4BBD"/>
    <w:rsid w:val="000B51B8"/>
    <w:rsid w:val="000B6F06"/>
    <w:rsid w:val="000D05CB"/>
    <w:rsid w:val="000E165D"/>
    <w:rsid w:val="000F2C2D"/>
    <w:rsid w:val="000F643C"/>
    <w:rsid w:val="000F6ACC"/>
    <w:rsid w:val="000F6C3E"/>
    <w:rsid w:val="0010058A"/>
    <w:rsid w:val="00101717"/>
    <w:rsid w:val="00105612"/>
    <w:rsid w:val="001207B8"/>
    <w:rsid w:val="00123FCD"/>
    <w:rsid w:val="001362A6"/>
    <w:rsid w:val="001373A1"/>
    <w:rsid w:val="001377F0"/>
    <w:rsid w:val="00152D87"/>
    <w:rsid w:val="0018535B"/>
    <w:rsid w:val="00191BFD"/>
    <w:rsid w:val="001E73A7"/>
    <w:rsid w:val="001F13A4"/>
    <w:rsid w:val="001F2686"/>
    <w:rsid w:val="001F5FF0"/>
    <w:rsid w:val="00213D72"/>
    <w:rsid w:val="002150F2"/>
    <w:rsid w:val="00225C28"/>
    <w:rsid w:val="002307EA"/>
    <w:rsid w:val="00233138"/>
    <w:rsid w:val="002407D8"/>
    <w:rsid w:val="0025272D"/>
    <w:rsid w:val="0025742E"/>
    <w:rsid w:val="00264532"/>
    <w:rsid w:val="00280529"/>
    <w:rsid w:val="00280902"/>
    <w:rsid w:val="00296F86"/>
    <w:rsid w:val="002C0143"/>
    <w:rsid w:val="002C099E"/>
    <w:rsid w:val="002E3153"/>
    <w:rsid w:val="002E3A99"/>
    <w:rsid w:val="002F2AF8"/>
    <w:rsid w:val="0030249A"/>
    <w:rsid w:val="003441A4"/>
    <w:rsid w:val="00347EC9"/>
    <w:rsid w:val="0035003A"/>
    <w:rsid w:val="003573B5"/>
    <w:rsid w:val="003615FF"/>
    <w:rsid w:val="003642E9"/>
    <w:rsid w:val="0036435A"/>
    <w:rsid w:val="003757DD"/>
    <w:rsid w:val="003937E0"/>
    <w:rsid w:val="003A107A"/>
    <w:rsid w:val="003A1CC5"/>
    <w:rsid w:val="003B142B"/>
    <w:rsid w:val="003C2F3D"/>
    <w:rsid w:val="003C6AD5"/>
    <w:rsid w:val="003E4998"/>
    <w:rsid w:val="003F1FF7"/>
    <w:rsid w:val="004049AF"/>
    <w:rsid w:val="00426326"/>
    <w:rsid w:val="0044373B"/>
    <w:rsid w:val="004449A9"/>
    <w:rsid w:val="00450F8B"/>
    <w:rsid w:val="00467997"/>
    <w:rsid w:val="00492BD2"/>
    <w:rsid w:val="00494743"/>
    <w:rsid w:val="004A255D"/>
    <w:rsid w:val="004B72B7"/>
    <w:rsid w:val="004B7AD8"/>
    <w:rsid w:val="004D4705"/>
    <w:rsid w:val="004D6F2E"/>
    <w:rsid w:val="004E4C31"/>
    <w:rsid w:val="004F5867"/>
    <w:rsid w:val="005034EB"/>
    <w:rsid w:val="005264FE"/>
    <w:rsid w:val="0054174D"/>
    <w:rsid w:val="00543A38"/>
    <w:rsid w:val="00585EBD"/>
    <w:rsid w:val="00592C0C"/>
    <w:rsid w:val="005968F7"/>
    <w:rsid w:val="005A49EA"/>
    <w:rsid w:val="005B666B"/>
    <w:rsid w:val="005B6978"/>
    <w:rsid w:val="005B7993"/>
    <w:rsid w:val="005C102D"/>
    <w:rsid w:val="005D04AF"/>
    <w:rsid w:val="005D553A"/>
    <w:rsid w:val="005E4871"/>
    <w:rsid w:val="006105A2"/>
    <w:rsid w:val="00636200"/>
    <w:rsid w:val="0064463F"/>
    <w:rsid w:val="006672C9"/>
    <w:rsid w:val="00667DA9"/>
    <w:rsid w:val="00673366"/>
    <w:rsid w:val="00686A16"/>
    <w:rsid w:val="00687595"/>
    <w:rsid w:val="00696C08"/>
    <w:rsid w:val="0069775E"/>
    <w:rsid w:val="006B5D0C"/>
    <w:rsid w:val="006F143E"/>
    <w:rsid w:val="006F2062"/>
    <w:rsid w:val="00706D82"/>
    <w:rsid w:val="00716CCF"/>
    <w:rsid w:val="00733AFD"/>
    <w:rsid w:val="00743742"/>
    <w:rsid w:val="00757B06"/>
    <w:rsid w:val="007619C4"/>
    <w:rsid w:val="00773F62"/>
    <w:rsid w:val="0077585D"/>
    <w:rsid w:val="00780BCE"/>
    <w:rsid w:val="00792741"/>
    <w:rsid w:val="0079769C"/>
    <w:rsid w:val="007A43F0"/>
    <w:rsid w:val="007B3FD0"/>
    <w:rsid w:val="007B4AB7"/>
    <w:rsid w:val="007C72AC"/>
    <w:rsid w:val="007D15AC"/>
    <w:rsid w:val="007E121A"/>
    <w:rsid w:val="008130C3"/>
    <w:rsid w:val="0081551D"/>
    <w:rsid w:val="008463FB"/>
    <w:rsid w:val="008541E7"/>
    <w:rsid w:val="00854E61"/>
    <w:rsid w:val="008577D1"/>
    <w:rsid w:val="0086018E"/>
    <w:rsid w:val="00870FDB"/>
    <w:rsid w:val="0087479B"/>
    <w:rsid w:val="0087647D"/>
    <w:rsid w:val="00880C5A"/>
    <w:rsid w:val="008844A1"/>
    <w:rsid w:val="0089051A"/>
    <w:rsid w:val="008B437E"/>
    <w:rsid w:val="008D5CA1"/>
    <w:rsid w:val="008E15D1"/>
    <w:rsid w:val="008E688F"/>
    <w:rsid w:val="008F41EB"/>
    <w:rsid w:val="008F4FE1"/>
    <w:rsid w:val="008F7E29"/>
    <w:rsid w:val="00900D74"/>
    <w:rsid w:val="00900DD2"/>
    <w:rsid w:val="009079B2"/>
    <w:rsid w:val="00910876"/>
    <w:rsid w:val="009141E0"/>
    <w:rsid w:val="00921153"/>
    <w:rsid w:val="009364C6"/>
    <w:rsid w:val="00945A47"/>
    <w:rsid w:val="009470C4"/>
    <w:rsid w:val="009600C6"/>
    <w:rsid w:val="00972C21"/>
    <w:rsid w:val="00980D01"/>
    <w:rsid w:val="009847BF"/>
    <w:rsid w:val="00986F48"/>
    <w:rsid w:val="009950AF"/>
    <w:rsid w:val="00995FEC"/>
    <w:rsid w:val="009A58CF"/>
    <w:rsid w:val="009B797B"/>
    <w:rsid w:val="009E7AE1"/>
    <w:rsid w:val="00A002B8"/>
    <w:rsid w:val="00A15C46"/>
    <w:rsid w:val="00A16B0D"/>
    <w:rsid w:val="00A26DEB"/>
    <w:rsid w:val="00A35060"/>
    <w:rsid w:val="00A42E45"/>
    <w:rsid w:val="00A60FE3"/>
    <w:rsid w:val="00A67C04"/>
    <w:rsid w:val="00A778BE"/>
    <w:rsid w:val="00A9732D"/>
    <w:rsid w:val="00AB390F"/>
    <w:rsid w:val="00AB5DB1"/>
    <w:rsid w:val="00AB7658"/>
    <w:rsid w:val="00AC25E9"/>
    <w:rsid w:val="00AE0A71"/>
    <w:rsid w:val="00AF08EB"/>
    <w:rsid w:val="00B009C7"/>
    <w:rsid w:val="00B01147"/>
    <w:rsid w:val="00B11D13"/>
    <w:rsid w:val="00B15FBC"/>
    <w:rsid w:val="00B35B8F"/>
    <w:rsid w:val="00B449D4"/>
    <w:rsid w:val="00B4753C"/>
    <w:rsid w:val="00B56619"/>
    <w:rsid w:val="00B60650"/>
    <w:rsid w:val="00B71BF4"/>
    <w:rsid w:val="00B77321"/>
    <w:rsid w:val="00B837BF"/>
    <w:rsid w:val="00B858B9"/>
    <w:rsid w:val="00B90A88"/>
    <w:rsid w:val="00B9644B"/>
    <w:rsid w:val="00BA586D"/>
    <w:rsid w:val="00BA76E0"/>
    <w:rsid w:val="00BB6287"/>
    <w:rsid w:val="00BC0772"/>
    <w:rsid w:val="00BC4E92"/>
    <w:rsid w:val="00BE0761"/>
    <w:rsid w:val="00BE22D9"/>
    <w:rsid w:val="00BE5274"/>
    <w:rsid w:val="00BE7486"/>
    <w:rsid w:val="00BF012C"/>
    <w:rsid w:val="00BF0B48"/>
    <w:rsid w:val="00C01F59"/>
    <w:rsid w:val="00C103E3"/>
    <w:rsid w:val="00C104CD"/>
    <w:rsid w:val="00C21714"/>
    <w:rsid w:val="00C27C4A"/>
    <w:rsid w:val="00C30EA7"/>
    <w:rsid w:val="00C55DF4"/>
    <w:rsid w:val="00C65679"/>
    <w:rsid w:val="00C65A9F"/>
    <w:rsid w:val="00C76F40"/>
    <w:rsid w:val="00C86FEC"/>
    <w:rsid w:val="00C95763"/>
    <w:rsid w:val="00CA3A88"/>
    <w:rsid w:val="00CC7DA9"/>
    <w:rsid w:val="00CD0F4F"/>
    <w:rsid w:val="00CD3881"/>
    <w:rsid w:val="00CE1DB9"/>
    <w:rsid w:val="00CE37BF"/>
    <w:rsid w:val="00CE4351"/>
    <w:rsid w:val="00CE71F7"/>
    <w:rsid w:val="00CF617F"/>
    <w:rsid w:val="00D34AB6"/>
    <w:rsid w:val="00D37948"/>
    <w:rsid w:val="00D37B7F"/>
    <w:rsid w:val="00D63F50"/>
    <w:rsid w:val="00D64533"/>
    <w:rsid w:val="00D66DBA"/>
    <w:rsid w:val="00D7051B"/>
    <w:rsid w:val="00D73C9A"/>
    <w:rsid w:val="00D829BA"/>
    <w:rsid w:val="00D94047"/>
    <w:rsid w:val="00DB7EC6"/>
    <w:rsid w:val="00DC2315"/>
    <w:rsid w:val="00DC6FD1"/>
    <w:rsid w:val="00DE5E1F"/>
    <w:rsid w:val="00DF7A6B"/>
    <w:rsid w:val="00E00509"/>
    <w:rsid w:val="00E00654"/>
    <w:rsid w:val="00E06874"/>
    <w:rsid w:val="00E156A7"/>
    <w:rsid w:val="00E36832"/>
    <w:rsid w:val="00E460AA"/>
    <w:rsid w:val="00E56212"/>
    <w:rsid w:val="00E56A5E"/>
    <w:rsid w:val="00E60F27"/>
    <w:rsid w:val="00E66EE8"/>
    <w:rsid w:val="00E71F04"/>
    <w:rsid w:val="00E739A7"/>
    <w:rsid w:val="00E81EB6"/>
    <w:rsid w:val="00E83AFF"/>
    <w:rsid w:val="00E851A7"/>
    <w:rsid w:val="00E85A27"/>
    <w:rsid w:val="00E85F75"/>
    <w:rsid w:val="00E95CEA"/>
    <w:rsid w:val="00EB0581"/>
    <w:rsid w:val="00EB78A0"/>
    <w:rsid w:val="00ED02F0"/>
    <w:rsid w:val="00EE3450"/>
    <w:rsid w:val="00EE62A3"/>
    <w:rsid w:val="00EF5FC0"/>
    <w:rsid w:val="00F14EB9"/>
    <w:rsid w:val="00F24236"/>
    <w:rsid w:val="00F2552B"/>
    <w:rsid w:val="00F2594A"/>
    <w:rsid w:val="00F27B05"/>
    <w:rsid w:val="00F42ABB"/>
    <w:rsid w:val="00F511C0"/>
    <w:rsid w:val="00FA2D82"/>
    <w:rsid w:val="00FA5CB2"/>
    <w:rsid w:val="00FB08C6"/>
    <w:rsid w:val="00FB08E6"/>
    <w:rsid w:val="00FC39B5"/>
    <w:rsid w:val="00FC3FEC"/>
    <w:rsid w:val="00FC75E4"/>
    <w:rsid w:val="00FD2CB3"/>
    <w:rsid w:val="00FE4F3B"/>
    <w:rsid w:val="00FE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3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3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696C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F13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70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0C4"/>
  </w:style>
  <w:style w:type="paragraph" w:styleId="a8">
    <w:name w:val="footer"/>
    <w:basedOn w:val="a"/>
    <w:link w:val="a9"/>
    <w:uiPriority w:val="99"/>
    <w:unhideWhenUsed/>
    <w:rsid w:val="009470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0C4"/>
  </w:style>
  <w:style w:type="paragraph" w:styleId="aa">
    <w:name w:val="List Paragraph"/>
    <w:basedOn w:val="a"/>
    <w:autoRedefine/>
    <w:uiPriority w:val="34"/>
    <w:qFormat/>
    <w:rsid w:val="006F2062"/>
    <w:pPr>
      <w:spacing w:before="60"/>
      <w:outlineLvl w:val="1"/>
    </w:pPr>
  </w:style>
  <w:style w:type="paragraph" w:styleId="ab">
    <w:name w:val="footnote text"/>
    <w:basedOn w:val="a"/>
    <w:link w:val="ac"/>
    <w:uiPriority w:val="99"/>
    <w:unhideWhenUsed/>
    <w:rsid w:val="006F20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6F2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F206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42E8-00E7-49CA-A573-B1315E2F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Гилязиева Азалия Рафатовна</dc:creator>
  <cp:lastModifiedBy>best_user</cp:lastModifiedBy>
  <cp:revision>10</cp:revision>
  <cp:lastPrinted>2016-12-12T04:04:00Z</cp:lastPrinted>
  <dcterms:created xsi:type="dcterms:W3CDTF">2016-12-20T12:24:00Z</dcterms:created>
  <dcterms:modified xsi:type="dcterms:W3CDTF">2016-12-26T08:59:00Z</dcterms:modified>
</cp:coreProperties>
</file>